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подача документов в органы власти –                             2 чел./час.;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1.2.Частота: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49 827,6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1.4.Средняя стоимость часа: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296,6</w:t>
      </w:r>
      <w:r>
        <w:rPr>
          <w:rFonts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44150,4/21*8</w:t>
      </w:r>
    </w:p>
    <w:p>
      <w:pPr>
        <w:pStyle w:val="Style71"/>
        <w:spacing w:lineRule="auto" w:line="240" w:before="0" w:after="0"/>
        <w:ind w:right="-87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количество обратившихся – 1.</w:t>
      </w:r>
    </w:p>
    <w:p>
      <w:pPr>
        <w:pStyle w:val="Style71"/>
        <w:spacing w:lineRule="auto" w:line="240" w:before="0" w:after="0"/>
        <w:ind w:right="-87" w:hanging="0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593,2</w:t>
      </w:r>
      <w:r>
        <w:rPr>
          <w:rFonts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2*</w:t>
      </w:r>
      <w:r>
        <w:rPr>
          <w:rFonts w:cs="Times New Roman" w:ascii="Times New Roman" w:hAnsi="Times New Roman"/>
          <w:sz w:val="28"/>
          <w:szCs w:val="28"/>
        </w:rPr>
        <w:t>296,6*1*1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Общая стоимость расчёта стандартных из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держек: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5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93,2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рублей.</w:t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-">
    <w:name w:val="Hyperlink"/>
    <w:uiPriority w:val="99"/>
    <w:unhideWhenUsed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Pr>
      <w:sz w:val="20"/>
    </w:rPr>
  </w:style>
  <w:style w:type="character" w:styleId="Style14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5">
    <w:name w:val="Endnote Reference"/>
    <w:rPr>
      <w:vertAlign w:val="superscript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6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7">
    <w:name w:val="Endnote Text"/>
    <w:basedOn w:val="Normal"/>
    <w:link w:val="Style13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8">
    <w:name w:val="Index Heading"/>
    <w:basedOn w:val="Style16"/>
    <w:pPr/>
    <w:rPr/>
  </w:style>
  <w:style w:type="paragraph" w:styleId="Style29">
    <w:name w:val="TOC Heading"/>
    <w:uiPriority w:val="39"/>
    <w:unhideWhenUsed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pPr>
      <w:widowControl/>
      <w:pBdr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LibreOffice/7.5.6.2$Linux_X86_64 LibreOffice_project/50$Build-2</Application>
  <AppVersion>15.0000</AppVersion>
  <Pages>1</Pages>
  <Words>60</Words>
  <Characters>473</Characters>
  <CharactersWithSpaces>552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2022-08-17T07:39:00Z</dcterms:created>
  <dc:creator>Липчанская</dc:creator>
  <dc:description/>
  <dc:language>ru-RU</dc:language>
  <cp:lastModifiedBy/>
  <cp:lastPrinted>2022-08-17T06:31:00Z</cp:lastPrinted>
  <dcterms:modified xsi:type="dcterms:W3CDTF">2024-03-01T11:25:47Z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