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4"/>
        </w:rPr>
        <w:t>«О внесении изменений в постановление администрации муниципального района «Ивнянский район» от 14 июля 2023 года № 288»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по управлению муниципальным имуществом                             и земельными ресурсами  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01</w:t>
      </w:r>
      <w:r>
        <w:rPr>
          <w:sz w:val="26"/>
          <w:szCs w:val="26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г. – 1</w:t>
      </w:r>
      <w:r>
        <w:rPr>
          <w:sz w:val="26"/>
          <w:szCs w:val="26"/>
        </w:rPr>
        <w:t>4</w:t>
      </w:r>
      <w:r>
        <w:rPr>
          <w:sz w:val="26"/>
          <w:szCs w:val="26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bookmarkStart w:id="0" w:name="_GoBack"/>
      <w:bookmarkEnd w:id="0"/>
      <w:r>
        <w:rPr>
          <w:sz w:val="26"/>
          <w:szCs w:val="26"/>
        </w:rPr>
        <w:t>«О внесении изменений в постановление администрации муниципального района «Ивнянский район» от 14 июля 2023 года № 288»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540"/>
        <w:jc w:val="both"/>
        <w:rPr>
          <w:sz w:val="28"/>
        </w:rPr>
      </w:pPr>
      <w:r>
        <w:rPr>
          <w:sz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8"/>
                <w:szCs w:val="28"/>
              </w:rPr>
              <w:t>«О внесении изменений в постановление администрации муниципального района «Ивнянский район» от 14 июля 2023 года № 288»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>14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февраля</w:t>
            </w:r>
            <w:r>
              <w:rPr>
                <w:b/>
                <w:sz w:val="26"/>
                <w:szCs w:val="26"/>
              </w:rPr>
              <w:t xml:space="preserve"> 202</w:t>
            </w:r>
            <w:r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pBdr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pBdr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pBdr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LibreOffice/7.5.6.2$Linux_X86_64 LibreOffice_project/50$Build-2</Application>
  <AppVersion>15.0000</AppVersion>
  <Pages>3</Pages>
  <Words>374</Words>
  <Characters>3136</Characters>
  <CharactersWithSpaces>3611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cp:lastPrinted>2022-08-30T05:06:00Z</cp:lastPrinted>
  <dcterms:modified xsi:type="dcterms:W3CDTF">2024-01-30T15:09:15Z</dcterms:modified>
  <cp:revision>11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