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afterAutospacing="0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Управление рисками причинения вреда (ущерба) охраняемым </w:t>
      </w:r>
      <w:r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в сфере благоустройства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границах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Ивнянского района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униципальный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 контроль в сфере благоустройства о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существляется            на основе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орган в лице администрации Ивнянского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целей управления рисками причинения вреда (ущерба) при осуществлении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 в сфере благоустройства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относит объекты контроля к одной из следующих категорий риска причинения вреда (ущерба)                     (далее - категории риска):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1) средний риск;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2) умеренный риск;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3) низкий риск.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color w:val="ff3333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Критерием отнесения объектов муниципального контроля в сфере благоустройства к категории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среднего риска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является:</w:t>
      </w:r>
      <w:r>
        <w:rPr>
          <w:rFonts w:ascii="Times New Roman" w:hAnsi="Times New Roman"/>
          <w:color w:val="ff3333"/>
          <w:sz w:val="28"/>
          <w:szCs w:val="28"/>
        </w:rPr>
      </w:r>
      <w:r>
        <w:rPr>
          <w:rFonts w:ascii="Times New Roman" w:hAnsi="Times New Roman"/>
          <w:color w:val="ff3333"/>
          <w:sz w:val="28"/>
          <w:szCs w:val="28"/>
        </w:rPr>
      </w:r>
    </w:p>
    <w:p>
      <w:pPr>
        <w:contextualSpacing/>
        <w:ind w:left="0" w:right="0" w:firstLine="709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Наличие на объекте контроля в течение предшествующего года нарушений следующих обязательных требований в сфере благоустройства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нарушений в содержании и (или) проведении работ по  благоустройству объектов (элементов) благоустройства в части отсутствия ограждений                  или перекрытий или проезжей части в местах разрытия или иных опасных местах;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нарушений по текущему ремонту, санитарному и техническому содержанию внутридомовых спортивных площадок, несоблюдение норм безопасности при эксплуатации оборудования спортивных площадок;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нарушений требований безопасности при монтаже и эксплуатации оборудования детских игровых площадок, в том числе отсутствие необходимой документации на оборудование, несоблюдение норм безопасности при монтаже оборудования, не проведение периодических осм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отров и технического обслуживания оборудования и его элементов                  в установленные сроки, невыполнение нормативов по информационному обеспечению безопасности при монтаже и эксплуатации оборудования детских игровых площадок;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производство земляных работ и работ по организац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 площадок              для проведения отдельных работ в сфере благоустройства                                       без соответствующего ордера или после окончания срока его действия, самовольное строительство, снос, реконструкция или капитальный ремонт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зданий, сооружений и коммуникаций, а также нарушение сроков выполнения работ в соответствии с ордером;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отсутствие в административно-деловых и торговых центрах (комплексах) площадью более 300 кв.м. пандусов и (или) приспособлений, необходимых для обеспечения беспрепятственного доступа к указанным объектам людей с инвалидностью и других маломобильных групп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Критерием отнесения объектов контроля к категории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умеренного риска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относятся: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нарушение внешнего вида и содержания зданий, ограждений, строений, сооружений, водоемов и элементов оборудования объектов благоустройства,     в том числе малых архитектурных форм, садово-парковой мебели, контейнеров, урн;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самоволь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ная установка (размещение) контейнеров, гаражей, строительной и дорожной техники, объектов мелкорозничной торговли                 и оказания услуг населению, складских помещений, бытовок и иных объектов, не являющихся объектами капительного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нарушения установленных правил содержания и эксплуатации устройств наружного освещения и контактной сети территории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нарушение установленных требований по внешнему виду                         и содержанию объектов праздничного и тематического оформления, рекламных и информационных конструкций;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загрязнение территории муниципального образования, связанное                   с эксплуатацией и ремонтом транспортных средств, мойка транспортных средств вне специально отведенных мест, стоянка на проезжей части дворовых территорий, препятств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ующая механи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зированной уборке и вывозу бытовых отходов, а также размещение разукомплектованных транспортных средств независимо от места их расположения, кроме специально отведенных                   для этого мест; размещение транспортных средств на детских площадках;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отсутствие в административно-деловых и торговых центрах (комплексах), зданиях, предназначенных для использования или фактически используемых в целях делового, административного или коммерческого назначения, площадью менее 300 кв.м., объектах социальной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инфраструктуры пандусов и (или) приспособлений, необходимых для обеспечения беспрепятственного доступа к указанным объектам людей с инвалидностью             и других маломобильных групп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8"/>
        <w:jc w:val="both"/>
        <w:keepLines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ненадлежащее техническое состояние объектов капительного строительства (наличие свободного доступа, частичного разрушения), а также их ограждающих конструкций (ограждение полностью и (или) частично отсутствует).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ab/>
        <w:t xml:space="preserve">К категории низкого риска относятся объекты контроля в сфере благоустройства, не отнесённые к объектам ср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еднего и умеренного риска.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Контрольный орган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 сборе, обработке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анализе и учете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сведений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                 а также общедоступную информацию.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46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Контрольный орган осуществляет категорирование объектов контроля             в порядке, определенном статьей 24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31.07.2020 г.                 № 248-ФЗ «О государственном контроле (надзоре) и муниципальном контроле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 (далее - Федеральный закон № 248-ФЗ).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6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категорий риска осуществляется распоряжением контрольного органа.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6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об отнесении земельных участков к категории низкого риска не требуется.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46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Реестр к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атегорированных объектов контроля размещен в едином реестре видов контроля (ЕРВК), а также на официальном сайте администрации муниципального района «Ивнянский район» Белгородской области                      во вкладке «Муниципальный контроль» по ссылке: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https://admivnya.gosuslugi.ru/ofitsialno/munitsipalnyy-kontrol/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sectPr>
      <w:footerReference w:type="default" r:id="rId8"/>
      <w:footnotePr/>
      <w:endnotePr/>
      <w:type w:val="nextPage"/>
      <w:pgSz w:w="11906" w:h="16838" w:orient="portrait"/>
      <w:pgMar w:top="737" w:right="850" w:bottom="510" w:left="1701" w:header="709" w:footer="371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link w:val="694"/>
    <w:uiPriority w:val="35"/>
    <w:rPr>
      <w:b/>
      <w:bCs/>
      <w:color w:val="4f81bd" w:themeColor="accent1"/>
      <w:sz w:val="18"/>
      <w:szCs w:val="18"/>
    </w:rPr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paragraph" w:styleId="846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dcterms:modified xsi:type="dcterms:W3CDTF">2025-07-16T07:30:53Z</dcterms:modified>
</cp:coreProperties>
</file>