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afterAutospacing="0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Управление рисками причинения вреда (ущерба) охраняемым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законом ценностям при осуществлении муниципального контроля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автомобильном транспорте, городском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наземном электрическом транспорте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 в дорожном хозяйстве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границах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Ивнянского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униципальный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контроль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автомобильном транспорте, городском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наземном электрическом транспорте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в дорожном хозяйстве 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существляется на основе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орган в лице администрации Ивнянского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целей управления рисками причинения вреда (ущерба) при осуществлении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автомобильном транспорте, городском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наземном электрическом транспорте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в дорожном хозяйстве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относит объекты контроля к одной из следующих категорий риска причинения вреда (ущерба) (далее - категории риска):</w:t>
      </w:r>
      <w:r>
        <w:rPr>
          <w:color w:val="000000" w:themeColor="text1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1) средний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2) умеренный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3) низкий риск.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ff3333"/>
          <w:sz w:val="28"/>
          <w:szCs w:val="28"/>
          <w:highlight w:val="none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Объекты контроля относятся к следующим категориям риска</w:t>
      </w:r>
      <w:r>
        <w:rPr>
          <w:rFonts w:ascii="Times New Roman" w:hAnsi="Times New Roman"/>
          <w:color w:val="ff3333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tooltip="file:///C:\Users\Селиванова\AppData\Local\Temp\nst3093.tmp\ContainedTemp\_blank#_blank" w:anchor="_blank" w:history="1">
        <w:r>
          <w:rPr>
            <w:rStyle w:val="81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критериям</w:t>
        </w:r>
        <w:r>
          <w:rPr>
            <w:rStyle w:val="81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ff3333"/>
          <w:sz w:val="28"/>
          <w:szCs w:val="28"/>
          <w:highlight w:val="none"/>
        </w:rPr>
      </w:r>
      <w:r>
        <w:rPr>
          <w:rFonts w:ascii="Times New Roman" w:hAnsi="Times New Roman"/>
          <w:color w:val="ff3333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ff3333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1)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категории среднего риска относятся ю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ридические лица, индивидуальные предприниматели при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наличии в течение последних трех лет на дату принятия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решения об отнесении деятельности юридического лица               или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индивидуального предпринимателя к категории риска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предписания,                  не исполненного в срок, установленный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предписанием, выданным по факту несоблюдения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обязательных требований, подлежащих исполнению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(соблюдению) контролируемыми лицами при осуществлении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деятельности             на автомобильном транспорте, городском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наземном электрическом транспорте и в дорожном хозяйстве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.</w:t>
      </w:r>
      <w:r>
        <w:rPr>
          <w:rFonts w:ascii="Times New Roman" w:hAnsi="Times New Roman"/>
          <w:color w:val="ff3333"/>
          <w:sz w:val="28"/>
          <w:szCs w:val="28"/>
        </w:rPr>
      </w:r>
      <w:r>
        <w:rPr>
          <w:rFonts w:ascii="Times New Roman" w:hAnsi="Times New Roman"/>
          <w:color w:val="ff3333"/>
          <w:sz w:val="28"/>
          <w:szCs w:val="28"/>
        </w:rPr>
      </w:r>
    </w:p>
    <w:p>
      <w:pPr>
        <w:pStyle w:val="836"/>
        <w:ind w:left="0"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к категории умеренного риска относятся ю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ридические лица, индивидуальные предприниматели при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наличии в течение последних пяти лет на дату принятия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решения об отнесении деятельности юридического лица или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индивидуального предпринимателя к категории риска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предписания, выданного по итогам проведения плановой или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внеплановой проверки                    по факту выявленных нарушений за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несоблюдение обязательных требований, подлежащих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исполнению (соблюдению) контролируемыми лицами                        при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осуществлении деятельности на автомобильном транспорте,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городском наземном электрическом транспорте и в дорожном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хозяйстве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к категории низкого риска относятся ю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ридические лица, индивидуальные предприниматели 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физические лица при отсутствии обстоятельств, указанных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пунктах 1 и 2 настоящих критериев отнесения деятельности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юридических лиц и индивидуальных предпринимателей к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категориям риска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 сборе, обработке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анализе и учете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сведений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                 а также общедоступную информацию.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осуществляет категорирование объектов контроля             в порядке, определенном статьей 24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31.07.2020 г.                 № 248-ФЗ «О государственном контроле (надзоре) и муниципальном контроле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 (далее - Федеральный закон № 248-ФЗ).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категорий риска осуществляется распоряжением контрольного органа.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об отнесении объектов контроля к категории низкого риска не требуется.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Реестр 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атегорированных объектов контроля размещен в едином реестре видов контроля (ЕРВК), а также на официальном сайте администрации муниципального района «Ивнянский район» Белгородской области                      во вкладке «Муниципальный контроль» по ссылке: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https://admivnya.gosuslugi.ru/ofitsialno/munitsipalnyy-kontrol/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</w:pPr>
      <w:r/>
      <w:r/>
      <w:r/>
    </w:p>
    <w:p>
      <w:pPr>
        <w:pStyle w:val="836"/>
        <w:ind w:firstLine="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\Users\&#1057;&#1077;&#1083;&#1080;&#1074;&#1072;&#1085;&#1086;&#1074;&#1072;\AppData\Local\Temp\nst3093.tmp\ContainedTemp\_bla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modified xsi:type="dcterms:W3CDTF">2025-07-16T07:31:47Z</dcterms:modified>
</cp:coreProperties>
</file>