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Анкета</w:t>
      </w:r>
      <w:r>
        <w:rPr>
          <w:rFonts w:ascii="Times New Roman" w:hAnsi="Times New Roman"/>
          <w:b/>
        </w:rPr>
      </w:r>
    </w:p>
    <w:p>
      <w:pPr>
        <w:pBdr/>
        <w:spacing/>
        <w:ind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>
        <w:rPr>
          <w:rFonts w:ascii="Times New Roman" w:hAnsi="Times New Roman"/>
          <w:b/>
          <w:bCs/>
        </w:rPr>
        <w:t xml:space="preserve"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  <w:r>
        <w:rPr>
          <w:rFonts w:ascii="Times New Roman" w:hAnsi="Times New Roman"/>
        </w:rPr>
      </w:r>
    </w:p>
    <w:p>
      <w:pPr>
        <w:pBdr/>
        <w:spacing/>
        <w:ind/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</w:r>
      <w:r>
        <w:rPr>
          <w:rFonts w:ascii="Times New Roman" w:hAnsi="Times New Roman"/>
          <w:highlight w:val="yellow"/>
        </w:rPr>
      </w:r>
    </w:p>
    <w:p>
      <w:pPr>
        <w:pStyle w:val="686"/>
        <w:numPr>
          <w:ilvl w:val="0"/>
          <w:numId w:val="1"/>
        </w:numPr>
        <w:pBdr/>
        <w:spacing/>
        <w:ind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Общие сведения об участнике публичных консультаций</w:t>
      </w:r>
      <w:r>
        <w:rPr>
          <w:rFonts w:ascii="Times New Roman" w:hAnsi="Times New Roman"/>
          <w:b/>
        </w:rPr>
      </w:r>
    </w:p>
    <w:tbl>
      <w:tblPr>
        <w:tblW w:w="9889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Наименование хозяйствующего субъекта (организации)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Сфера деятельности хозяйствующего субъекта (организации)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ИНН хозяйствующего субъекта (организации)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ФИО участника публичных консультаций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Контактный телефон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4672" w:type="dxa"/>
            <w:textDirection w:val="lrTb"/>
            <w:noWrap w:val="false"/>
          </w:tcPr>
          <w:p>
            <w:pPr>
              <w:pBdr/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Адрес электронной почты</w:t>
            </w:r>
            <w:r>
              <w:rPr>
                <w:rFonts w:ascii="Times New Roman" w:hAnsi="Times New Roman"/>
              </w:rPr>
            </w:r>
          </w:p>
        </w:tc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5217" w:type="dxa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pBdr/>
        <w:spacing/>
        <w:ind/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  <w:r>
        <w:rPr>
          <w:rFonts w:ascii="Times New Roman" w:hAnsi="Times New Roman"/>
          <w:highlight w:val="yellow"/>
        </w:rPr>
      </w:r>
    </w:p>
    <w:p>
      <w:pPr>
        <w:pBdr/>
        <w:spacing/>
        <w:ind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>
        <w:rPr>
          <w:rFonts w:ascii="Times New Roman" w:hAnsi="Times New Roman"/>
          <w:b/>
        </w:rPr>
        <w:t xml:space="preserve">проекте</w:t>
      </w:r>
      <w:r>
        <w:rPr>
          <w:rFonts w:ascii="Times New Roman" w:hAnsi="Times New Roman"/>
          <w:b/>
        </w:rPr>
        <w:t xml:space="preserve"> нормативно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правово</w:t>
      </w:r>
      <w:r>
        <w:rPr>
          <w:rFonts w:ascii="Times New Roman" w:hAnsi="Times New Roman"/>
          <w:b/>
        </w:rPr>
        <w:t xml:space="preserve">го</w:t>
      </w:r>
      <w:r>
        <w:rPr>
          <w:rFonts w:ascii="Times New Roman" w:hAnsi="Times New Roman"/>
          <w:b/>
        </w:rPr>
        <w:t xml:space="preserve"> акт</w:t>
      </w:r>
      <w:r>
        <w:rPr>
          <w:rFonts w:ascii="Times New Roman" w:hAnsi="Times New Roman"/>
          <w:b/>
        </w:rPr>
        <w:t xml:space="preserve">а</w:t>
      </w:r>
      <w:r>
        <w:rPr>
          <w:rFonts w:ascii="Times New Roman" w:hAnsi="Times New Roman"/>
          <w:b/>
        </w:rPr>
      </w:r>
    </w:p>
    <w:tbl>
      <w:tblPr>
        <w:tblW w:w="9856" w:type="dxa"/>
        <w:tblBorders>
          <w:top w:val="single" w:color="00000a" w:sz="4" w:space="0"/>
          <w:left w:val="single" w:color="00000a" w:sz="4" w:space="0"/>
          <w:bottom w:val="single" w:color="00000a" w:sz="4" w:space="0"/>
          <w:right w:val="single" w:color="00000a" w:sz="4" w:space="0"/>
          <w:insideH w:val="single" w:color="00000a" w:sz="4" w:space="0"/>
          <w:insideV w:val="single" w:color="00000a" w:sz="4" w:space="0"/>
        </w:tblBorders>
        <w:tblLook w:val="04A0" w:firstRow="1" w:lastRow="0" w:firstColumn="1" w:lastColumn="0" w:noHBand="0" w:noVBand="1"/>
      </w:tblPr>
      <w:tblGrid>
        <w:gridCol w:w="9856"/>
      </w:tblGrid>
      <w:tr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widowControl w:val="true"/>
              <w:pBdr/>
              <w:spacing/>
              <w:ind w:right="20" w:firstLine="406" w:left="20"/>
              <w:jc w:val="both"/>
              <w:rPr>
                <w:rFonts w:ascii="Times New Roman" w:hAnsi="Times New Roman" w:eastAsia="Calibri" w:cs="Times New Roman"/>
                <w:bCs/>
                <w:color w:val="auto"/>
              </w:rPr>
            </w:pPr>
            <w:r/>
            <w:bookmarkStart w:id="0" w:name="_GoBack"/>
            <w:r>
              <w:rPr>
                <w:rFonts w:ascii="Times New Roman" w:hAnsi="Times New Roman" w:eastAsia="Calibri" w:cs="Times New Roman"/>
                <w:bCs/>
                <w:color w:val="auto"/>
              </w:rPr>
              <w:t xml:space="preserve">Проект постановления администрации муниципального района «Ивнянский район» Белгородской области «</w:t>
            </w:r>
            <w:r>
              <w:rPr>
                <w:rFonts w:ascii="Times New Roman" w:hAnsi="Times New Roman" w:eastAsia="Calibri" w:cs="Times New Roman"/>
                <w:bCs/>
                <w:color w:val="auto"/>
              </w:rPr>
              <w:t xml:space="preserve">О направлениях мер поддержка участников специально военной операции и членов их семей на территории Ивнянского района»</w:t>
            </w:r>
            <w:bookmarkEnd w:id="0"/>
            <w:r/>
            <w:r>
              <w:rPr>
                <w:rFonts w:ascii="Times New Roman" w:hAnsi="Times New Roman" w:eastAsia="Calibri" w:cs="Times New Roman"/>
                <w:bCs/>
                <w:color w:val="auto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/>
              <w:ind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/>
              <w:ind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/>
              <w:ind/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2. Присутствуют ли в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</w:t>
            </w:r>
            <w:r>
              <w:rPr>
                <w:rFonts w:ascii="Times New Roman" w:hAnsi="Times New Roman"/>
                <w:color w:val="000000"/>
                <w:lang w:eastAsia="en-US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>
              <w:rPr>
                <w:rFonts w:ascii="Times New Roman" w:hAnsi="Times New Roman" w:eastAsia="Calibri" w:cs="Times New Roman"/>
                <w:color w:val="000000"/>
              </w:rPr>
              <w:t xml:space="preserve"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 и их содержание.</w:t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нормативного правового акта?</w:t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5. Какие положения антимонопол</w:t>
            </w:r>
            <w:r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 xml:space="preserve">могут быть нарушены?</w:t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>
              <w:rPr>
                <w:rFonts w:ascii="Times New Roman" w:hAnsi="Times New Roman" w:eastAsia="Calibri" w:cs="Times New Roman"/>
              </w:rPr>
              <w:t xml:space="preserve">принятия муниципального нормативного правового акта в данной редакции</w:t>
            </w:r>
            <w:r>
              <w:rPr>
                <w:rFonts w:ascii="Times New Roman" w:hAnsi="Times New Roman" w:eastAsia="Calibri" w:cs="Times New Roman"/>
              </w:rPr>
              <w:t xml:space="preserve">?</w:t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7.Ваши замечания и предложения по</w:t>
            </w:r>
            <w:r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нормативно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 xml:space="preserve"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:</w:t>
            </w:r>
            <w:r>
              <w:rPr>
                <w:rFonts w:ascii="Times New Roman" w:hAnsi="Times New Roman"/>
              </w:rPr>
            </w:r>
          </w:p>
        </w:tc>
      </w:tr>
      <w:tr>
        <w:trPr/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Bdr/>
              <w:tabs>
                <w:tab w:val="left" w:leader="none" w:pos="2940"/>
              </w:tabs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  <w:tr>
        <w:trPr>
          <w:trHeight w:val="96"/>
        </w:trPr>
        <w:tc>
          <w:tcPr>
            <w:shd w:val="clear" w:color="auto" w:fill="ffffff"/>
            <w:tcBorders>
              <w:top w:val="single" w:color="00000a" w:sz="4" w:space="0"/>
              <w:left w:val="single" w:color="00000a" w:sz="4" w:space="0"/>
              <w:bottom w:val="single" w:color="00000a" w:sz="4" w:space="0"/>
              <w:right w:val="single" w:color="00000a" w:sz="4" w:space="0"/>
            </w:tcBorders>
            <w:tcMar>
              <w:left w:w="108" w:type="dxa"/>
            </w:tcMar>
            <w:tcW w:w="9856" w:type="dxa"/>
            <w:textDirection w:val="lrTb"/>
            <w:noWrap w:val="false"/>
          </w:tcPr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soloschenko</w:t>
            </w:r>
            <w:r>
              <w:rPr>
                <w:rFonts w:ascii="Times New Roman" w:hAnsi="Times New Roman" w:eastAsia="Times New Roman" w:cs="Times New Roman"/>
                <w:sz w:val="22"/>
              </w:rPr>
              <w:t xml:space="preserve">_</w:t>
            </w:r>
            <w:r>
              <w:rPr>
                <w:rFonts w:ascii="Times New Roman" w:hAnsi="Times New Roman" w:eastAsia="Times New Roman" w:cs="Times New Roman"/>
                <w:sz w:val="22"/>
                <w:lang w:val="en-US"/>
              </w:rPr>
              <w:t xml:space="preserve">si</w:t>
            </w:r>
            <w:r>
              <w:rPr>
                <w:rFonts w:ascii="Times New Roman" w:hAnsi="Times New Roman" w:eastAsia="Times New Roman" w:cs="Times New Roman"/>
                <w:color w:val="000000"/>
                <w:sz w:val="22"/>
              </w:rPr>
              <w:t xml:space="preserve">@iv.belregion.ru.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rFonts w:ascii="Times New Roman" w:hAnsi="Times New Roman" w:eastAsia="Times New Roman" w:cs="Times New Roman"/>
              </w:rPr>
              <w:t xml:space="preserve">Сроки приема </w:t>
            </w:r>
            <w:r>
              <w:rPr>
                <w:rFonts w:ascii="Times New Roman" w:hAnsi="Times New Roman" w:eastAsia="Times New Roman" w:cs="Times New Roman"/>
              </w:rPr>
              <w:t xml:space="preserve">предложений и замечаний: </w:t>
            </w:r>
            <w:r>
              <w:rPr>
                <w:rFonts w:ascii="Times New Roman" w:hAnsi="Times New Roman" w:eastAsia="Times New Roman" w:cs="Times New Roman"/>
              </w:rPr>
              <w:t xml:space="preserve">с</w:t>
            </w:r>
            <w:r>
              <w:rPr>
                <w:rFonts w:ascii="Times New Roman" w:hAnsi="Times New Roman" w:eastAsia="Times New Roman" w:cs="Times New Roman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  <w:t xml:space="preserve">7</w:t>
            </w:r>
            <w:r>
              <w:rPr>
                <w:rFonts w:ascii="Times New Roman" w:hAnsi="Times New Roman" w:eastAsia="Times New Roman" w:cs="Times New Roman"/>
              </w:rPr>
              <w:t xml:space="preserve">.0</w:t>
            </w:r>
            <w:r>
              <w:rPr>
                <w:rFonts w:ascii="Times New Roman" w:hAnsi="Times New Roman" w:eastAsia="Times New Roman" w:cs="Times New Roman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 по </w:t>
            </w:r>
            <w:r>
              <w:rPr>
                <w:rFonts w:ascii="Times New Roman" w:hAnsi="Times New Roman" w:eastAsia="Times New Roman" w:cs="Times New Roman"/>
              </w:rPr>
              <w:t xml:space="preserve">30</w:t>
            </w:r>
            <w:r>
              <w:rPr>
                <w:rFonts w:ascii="Times New Roman" w:hAnsi="Times New Roman" w:eastAsia="Times New Roman" w:cs="Times New Roman"/>
              </w:rPr>
              <w:t xml:space="preserve">.</w:t>
            </w:r>
            <w:r>
              <w:rPr>
                <w:rFonts w:ascii="Times New Roman" w:hAnsi="Times New Roman" w:eastAsia="Times New Roman" w:cs="Times New Roman"/>
              </w:rPr>
              <w:t xml:space="preserve">0</w:t>
            </w:r>
            <w:r>
              <w:rPr>
                <w:rFonts w:ascii="Times New Roman" w:hAnsi="Times New Roman" w:eastAsia="Times New Roman" w:cs="Times New Roman"/>
              </w:rPr>
              <w:t xml:space="preserve">1</w:t>
            </w:r>
            <w:r>
              <w:rPr>
                <w:rFonts w:ascii="Times New Roman" w:hAnsi="Times New Roman" w:eastAsia="Times New Roman" w:cs="Times New Roman"/>
              </w:rPr>
              <w:t xml:space="preserve">.202</w:t>
            </w:r>
            <w:r>
              <w:rPr>
                <w:rFonts w:ascii="Times New Roman" w:hAnsi="Times New Roman" w:eastAsia="Times New Roman" w:cs="Times New Roman"/>
              </w:rPr>
              <w:t xml:space="preserve">5</w:t>
            </w:r>
            <w:r>
              <w:rPr>
                <w:rFonts w:ascii="Times New Roman" w:hAnsi="Times New Roman" w:eastAsia="Times New Roman" w:cs="Times New Roman"/>
              </w:rPr>
              <w:t xml:space="preserve"> года.</w:t>
            </w:r>
            <w:r>
              <w:rPr>
                <w:rFonts w:ascii="Times New Roman" w:hAnsi="Times New Roman" w:eastAsia="Times New Roman" w:cs="Times New Roman"/>
              </w:rPr>
            </w:r>
          </w:p>
          <w:p>
            <w:pPr>
              <w:pBdr/>
              <w:tabs>
                <w:tab w:val="left" w:leader="none" w:pos="2940"/>
              </w:tabs>
              <w:spacing/>
              <w:ind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</w:r>
            <w:r>
              <w:rPr>
                <w:rFonts w:ascii="Times New Roman" w:hAnsi="Times New Roman"/>
              </w:rPr>
            </w:r>
          </w:p>
        </w:tc>
      </w:tr>
    </w:tbl>
    <w:p>
      <w:pPr>
        <w:widowControl w:val="true"/>
        <w:pBdr/>
        <w:spacing w:after="200" w:line="276" w:lineRule="auto"/>
        <w:ind w:firstLine="851"/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</w:r>
      <w:r>
        <w:rPr>
          <w:rFonts w:cs="Times New Roman"/>
          <w:color w:val="000000"/>
        </w:rPr>
      </w:r>
    </w:p>
    <w:sectPr>
      <w:footnotePr/>
      <w:endnotePr/>
      <w:type w:val="nextPage"/>
      <w:pgSz w:h="16838" w:orient="portrait" w:w="11906"/>
      <w:pgMar w:top="720" w:right="851" w:bottom="720" w:left="1134" w:header="0" w:footer="0" w:gutter="0"/>
      <w:cols w:num="1" w:sep="0" w:space="720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Liberation Sans">
    <w:panose1 w:val="020B0604020202020204"/>
  </w:font>
  <w:font w:name="Arial Unicode MS">
    <w:panose1 w:val="020B0604020202020204"/>
  </w:font>
  <w:font w:name="Arial">
    <w:panose1 w:val="020B0604020202020204"/>
  </w:font>
  <w:font w:name="Times New Roman">
    <w:panose1 w:val="02020603050405020304"/>
  </w:font>
  <w:font w:name="Arial Narrow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/>
      <w:numFmt w:val="none"/>
      <w:pPr>
        <w:pBdr/>
        <w:spacing/>
        <w:ind w:firstLine="0" w:left="0"/>
      </w:pPr>
      <w:rPr/>
      <w:start w:val="1"/>
      <w:suff w:val="nothing"/>
    </w:lvl>
    <w:lvl w:ilvl="1">
      <w:isLgl w:val="false"/>
      <w:lvlJc w:val="left"/>
      <w:lvlText/>
      <w:numFmt w:val="none"/>
      <w:pPr>
        <w:pBdr/>
        <w:spacing/>
        <w:ind w:firstLine="0" w:left="0"/>
      </w:pPr>
      <w:rPr/>
      <w:start w:val="1"/>
      <w:suff w:val="nothing"/>
    </w:lvl>
    <w:lvl w:ilvl="2">
      <w:isLgl w:val="false"/>
      <w:lvlJc w:val="left"/>
      <w:lvlText/>
      <w:numFmt w:val="none"/>
      <w:pPr>
        <w:pBdr/>
        <w:spacing/>
        <w:ind w:firstLine="0" w:left="0"/>
      </w:pPr>
      <w:rPr/>
      <w:start w:val="1"/>
      <w:suff w:val="nothing"/>
    </w:lvl>
    <w:lvl w:ilvl="3">
      <w:isLgl w:val="false"/>
      <w:lvlJc w:val="left"/>
      <w:lvlText/>
      <w:numFmt w:val="none"/>
      <w:pPr>
        <w:pBdr/>
        <w:spacing/>
        <w:ind w:firstLine="0" w:left="0"/>
      </w:pPr>
      <w:rPr/>
      <w:start w:val="1"/>
      <w:suff w:val="nothing"/>
    </w:lvl>
    <w:lvl w:ilvl="4">
      <w:isLgl w:val="false"/>
      <w:lvlJc w:val="left"/>
      <w:lvlText/>
      <w:numFmt w:val="none"/>
      <w:pPr>
        <w:pBdr/>
        <w:spacing/>
        <w:ind w:firstLine="0" w:left="0"/>
      </w:pPr>
      <w:rPr/>
      <w:start w:val="1"/>
      <w:suff w:val="nothing"/>
    </w:lvl>
    <w:lvl w:ilvl="5">
      <w:isLgl w:val="false"/>
      <w:lvlJc w:val="left"/>
      <w:lvlText/>
      <w:numFmt w:val="none"/>
      <w:pPr>
        <w:pBdr/>
        <w:spacing/>
        <w:ind w:firstLine="0" w:left="0"/>
      </w:pPr>
      <w:rPr/>
      <w:start w:val="1"/>
      <w:suff w:val="nothing"/>
    </w:lvl>
    <w:lvl w:ilvl="6">
      <w:isLgl w:val="false"/>
      <w:lvlJc w:val="left"/>
      <w:lvlText/>
      <w:numFmt w:val="none"/>
      <w:pPr>
        <w:pBdr/>
        <w:spacing/>
        <w:ind w:firstLine="0" w:left="0"/>
      </w:pPr>
      <w:rPr/>
      <w:start w:val="1"/>
      <w:suff w:val="nothing"/>
    </w:lvl>
    <w:lvl w:ilvl="7">
      <w:isLgl w:val="false"/>
      <w:lvlJc w:val="left"/>
      <w:lvlText/>
      <w:numFmt w:val="none"/>
      <w:pPr>
        <w:pBdr/>
        <w:spacing/>
        <w:ind w:firstLine="0" w:left="0"/>
      </w:pPr>
      <w:rPr/>
      <w:start w:val="1"/>
      <w:suff w:val="nothing"/>
    </w:lvl>
    <w:lvl w:ilvl="8">
      <w:isLgl w:val="false"/>
      <w:lvlJc w:val="left"/>
      <w:lvlText/>
      <w:numFmt w:val="none"/>
      <w:pPr>
        <w:pBdr/>
        <w:spacing/>
        <w:ind w:firstLine="0" w:left="0"/>
      </w:pPr>
      <w:rPr/>
      <w:start w:val="1"/>
      <w:suff w:val="nothing"/>
    </w:lvl>
  </w:abstractNum>
  <w:abstractNum w:abstractNumId="1">
    <w:lvl w:ilvl="0">
      <w:isLgl w:val="false"/>
      <w:lvlJc w:val="left"/>
      <w:lvlText w:val="%1."/>
      <w:numFmt w:val="decimal"/>
      <w:pPr>
        <w:pBdr/>
        <w:spacing/>
        <w:ind w:hanging="360" w:left="720"/>
      </w:pPr>
      <w:rPr/>
      <w:start w:val="1"/>
      <w:suff w:val="tab"/>
    </w:lvl>
    <w:lvl w:ilvl="1">
      <w:isLgl w:val="false"/>
      <w:lvlJc w:val="left"/>
      <w:lvlText w:val="%2."/>
      <w:numFmt w:val="lowerLetter"/>
      <w:pPr>
        <w:pBdr/>
        <w:spacing/>
        <w:ind w:hanging="360" w:left="1440"/>
      </w:pPr>
      <w:rPr/>
      <w:start w:val="1"/>
      <w:suff w:val="tab"/>
    </w:lvl>
    <w:lvl w:ilvl="2">
      <w:isLgl w:val="false"/>
      <w:lvlJc w:val="right"/>
      <w:lvlText w:val="%3."/>
      <w:numFmt w:val="lowerRoman"/>
      <w:pPr>
        <w:pBdr/>
        <w:spacing/>
        <w:ind w:hanging="180" w:left="2160"/>
      </w:pPr>
      <w:rPr/>
      <w:start w:val="1"/>
      <w:suff w:val="tab"/>
    </w:lvl>
    <w:lvl w:ilvl="3">
      <w:isLgl w:val="false"/>
      <w:lvlJc w:val="left"/>
      <w:lvlText w:val="%4."/>
      <w:numFmt w:val="decimal"/>
      <w:pPr>
        <w:pBdr/>
        <w:spacing/>
        <w:ind w:hanging="360" w:left="2880"/>
      </w:pPr>
      <w:rPr/>
      <w:start w:val="1"/>
      <w:suff w:val="tab"/>
    </w:lvl>
    <w:lvl w:ilvl="4">
      <w:isLgl w:val="false"/>
      <w:lvlJc w:val="left"/>
      <w:lvlText w:val="%5."/>
      <w:numFmt w:val="lowerLetter"/>
      <w:pPr>
        <w:pBdr/>
        <w:spacing/>
        <w:ind w:hanging="360" w:left="3600"/>
      </w:pPr>
      <w:rPr/>
      <w:start w:val="1"/>
      <w:suff w:val="tab"/>
    </w:lvl>
    <w:lvl w:ilvl="5">
      <w:isLgl w:val="false"/>
      <w:lvlJc w:val="right"/>
      <w:lvlText w:val="%6."/>
      <w:numFmt w:val="lowerRoman"/>
      <w:pPr>
        <w:pBdr/>
        <w:spacing/>
        <w:ind w:hanging="180" w:left="4320"/>
      </w:pPr>
      <w:rPr/>
      <w:start w:val="1"/>
      <w:suff w:val="tab"/>
    </w:lvl>
    <w:lvl w:ilvl="6">
      <w:isLgl w:val="false"/>
      <w:lvlJc w:val="left"/>
      <w:lvlText w:val="%7."/>
      <w:numFmt w:val="decimal"/>
      <w:pPr>
        <w:pBdr/>
        <w:spacing/>
        <w:ind w:hanging="360" w:left="5040"/>
      </w:pPr>
      <w:rPr/>
      <w:start w:val="1"/>
      <w:suff w:val="tab"/>
    </w:lvl>
    <w:lvl w:ilvl="7">
      <w:isLgl w:val="false"/>
      <w:lvlJc w:val="left"/>
      <w:lvlText w:val="%8."/>
      <w:numFmt w:val="lowerLetter"/>
      <w:pPr>
        <w:pBdr/>
        <w:spacing/>
        <w:ind w:hanging="360" w:left="5760"/>
      </w:pPr>
      <w:rPr/>
      <w:start w:val="1"/>
      <w:suff w:val="tab"/>
    </w:lvl>
    <w:lvl w:ilvl="8">
      <w:isLgl w:val="false"/>
      <w:lvlJc w:val="right"/>
      <w:lvlText w:val="%9."/>
      <w:numFmt w:val="lowerRoman"/>
      <w:pPr>
        <w:pBdr/>
        <w:spacing/>
        <w:ind w:hanging="180" w:left="6480"/>
      </w:pPr>
      <w:rPr/>
      <w:start w:val="1"/>
      <w:suff w:val="tab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Arial Narrow" w:hAnsiTheme="minorHAnsi" w:eastAsiaTheme="minorEastAsia" w:cstheme="minorBidi"/>
        <w:szCs w:val="22"/>
        <w:lang w:val="ru-RU" w:eastAsia="ru-RU" w:bidi="ar-SA"/>
      </w:rPr>
    </w:rPrDefault>
    <w:pPrDefault>
      <w:pPr>
        <w:pBdr/>
        <w:spacing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66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66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6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6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6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6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ce6f2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6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6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6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6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6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be5f2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ec5e1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3dddc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e2afad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bf1d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1e0b3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c5b8d4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cd9e5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a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fbcfaa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e6da5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c732f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66879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be5f2" w:themeFill="accent1" w:themeFillTint="34"/>
        <w:tcBorders/>
      </w:tcPr>
    </w:tblStylePr>
    <w:tblStylePr w:type="band2Horz">
      <w:rPr>
        <w:rFonts w:ascii="Arial" w:hAnsi="Arial"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6da5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Horz">
      <w:rPr>
        <w:rFonts w:ascii="Arial" w:hAnsi="Arial"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32f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Horz">
      <w:rPr>
        <w:rFonts w:ascii="Arial" w:hAnsi="Arial"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879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Horz">
      <w:rPr>
        <w:rFonts w:ascii="Arial" w:hAnsi="Arial"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25408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c0504d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9bbb59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8064a2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a9796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c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3d69c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7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2cddd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2cddd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ac091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fac091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b4b72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9f3a38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c993f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64f84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8ba3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d680a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3dfee" w:themeFill="accent1" w:themeFillTint="40"/>
        <w:tcBorders/>
      </w:tcPr>
    </w:tblStylePr>
    <w:tblStylePr w:type="band2Horz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b4b72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efd3d2" w:themeFill="accent2" w:themeFillTint="40"/>
        <w:tcBorders/>
      </w:tcPr>
    </w:tblStylePr>
    <w:tblStylePr w:type="band2Horz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9f3a38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6eed5" w:themeFill="accent3" w:themeFillTint="40"/>
        <w:tcBorders/>
      </w:tcPr>
    </w:tblStylePr>
    <w:tblStylePr w:type="band2Horz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c993f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dfd8e8" w:themeFill="accent4" w:themeFillTint="40"/>
        <w:tcBorders/>
      </w:tcPr>
    </w:tblStylePr>
    <w:tblStylePr w:type="band2Horz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664f84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2eaf1" w:themeFill="accent5" w:themeFillTint="40"/>
        <w:tcBorders/>
      </w:tcPr>
    </w:tblStylePr>
    <w:tblStylePr w:type="band2Horz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8ba3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fde5d1" w:themeFill="accent6" w:themeFillTint="40"/>
        <w:tcBorders/>
      </w:tcPr>
    </w:tblStylePr>
    <w:tblStylePr w:type="band2Horz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d680a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8d7ea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d8bc2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3dddc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da9796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bf1d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9bbb5a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e5dfec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b2a1c7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aee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bacc6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6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fdea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f79646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6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64"/>
    <w:next w:val="664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64"/>
    <w:next w:val="664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64"/>
    <w:next w:val="664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64"/>
    <w:next w:val="664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64"/>
    <w:next w:val="664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64"/>
    <w:next w:val="664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64"/>
    <w:next w:val="664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4"/>
    <w:next w:val="664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4"/>
    <w:next w:val="664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665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665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665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665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665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665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665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665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665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64"/>
    <w:next w:val="664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665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64"/>
    <w:next w:val="664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665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4"/>
    <w:next w:val="664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665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665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4"/>
    <w:next w:val="664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665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665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64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66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665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665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66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665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4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665"/>
    <w:link w:val="175"/>
    <w:uiPriority w:val="99"/>
    <w:pPr>
      <w:pBdr/>
      <w:spacing/>
      <w:ind/>
    </w:pPr>
  </w:style>
  <w:style w:type="paragraph" w:styleId="177">
    <w:name w:val="Footer"/>
    <w:basedOn w:val="664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665"/>
    <w:link w:val="177"/>
    <w:uiPriority w:val="99"/>
    <w:pPr>
      <w:pBdr/>
      <w:spacing/>
      <w:ind/>
    </w:pPr>
  </w:style>
  <w:style w:type="character" w:styleId="181">
    <w:name w:val="Footnote Text Char"/>
    <w:basedOn w:val="665"/>
    <w:link w:val="685"/>
    <w:uiPriority w:val="99"/>
    <w:semiHidden/>
    <w:pPr>
      <w:pBdr/>
      <w:spacing/>
      <w:ind/>
    </w:pPr>
    <w:rPr>
      <w:sz w:val="20"/>
      <w:szCs w:val="20"/>
    </w:rPr>
  </w:style>
  <w:style w:type="paragraph" w:styleId="183">
    <w:name w:val="endnote text"/>
    <w:basedOn w:val="664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665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665"/>
    <w:uiPriority w:val="99"/>
    <w:semiHidden/>
    <w:unhideWhenUsed/>
    <w:pPr>
      <w:pBdr/>
      <w:spacing/>
      <w:ind/>
    </w:pPr>
    <w:rPr>
      <w:vertAlign w:val="superscript"/>
    </w:rPr>
  </w:style>
  <w:style w:type="character" w:styleId="186">
    <w:name w:val="Hyperlink"/>
    <w:basedOn w:val="665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187">
    <w:name w:val="FollowedHyperlink"/>
    <w:basedOn w:val="665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88">
    <w:name w:val="toc 1"/>
    <w:basedOn w:val="664"/>
    <w:next w:val="664"/>
    <w:uiPriority w:val="39"/>
    <w:unhideWhenUsed/>
    <w:pPr>
      <w:pBdr/>
      <w:spacing w:after="100"/>
      <w:ind/>
    </w:pPr>
  </w:style>
  <w:style w:type="paragraph" w:styleId="189">
    <w:name w:val="toc 2"/>
    <w:basedOn w:val="664"/>
    <w:next w:val="664"/>
    <w:uiPriority w:val="39"/>
    <w:unhideWhenUsed/>
    <w:pPr>
      <w:pBdr/>
      <w:spacing w:after="100"/>
      <w:ind w:left="220"/>
    </w:pPr>
  </w:style>
  <w:style w:type="paragraph" w:styleId="190">
    <w:name w:val="toc 3"/>
    <w:basedOn w:val="664"/>
    <w:next w:val="664"/>
    <w:uiPriority w:val="39"/>
    <w:unhideWhenUsed/>
    <w:pPr>
      <w:pBdr/>
      <w:spacing w:after="100"/>
      <w:ind w:left="440"/>
    </w:pPr>
  </w:style>
  <w:style w:type="paragraph" w:styleId="191">
    <w:name w:val="toc 4"/>
    <w:basedOn w:val="664"/>
    <w:next w:val="664"/>
    <w:uiPriority w:val="39"/>
    <w:unhideWhenUsed/>
    <w:pPr>
      <w:pBdr/>
      <w:spacing w:after="100"/>
      <w:ind w:left="660"/>
    </w:pPr>
  </w:style>
  <w:style w:type="paragraph" w:styleId="192">
    <w:name w:val="toc 5"/>
    <w:basedOn w:val="664"/>
    <w:next w:val="664"/>
    <w:uiPriority w:val="39"/>
    <w:unhideWhenUsed/>
    <w:pPr>
      <w:pBdr/>
      <w:spacing w:after="100"/>
      <w:ind w:left="880"/>
    </w:pPr>
  </w:style>
  <w:style w:type="paragraph" w:styleId="193">
    <w:name w:val="toc 6"/>
    <w:basedOn w:val="664"/>
    <w:next w:val="664"/>
    <w:uiPriority w:val="39"/>
    <w:unhideWhenUsed/>
    <w:pPr>
      <w:pBdr/>
      <w:spacing w:after="100"/>
      <w:ind w:left="1100"/>
    </w:pPr>
  </w:style>
  <w:style w:type="paragraph" w:styleId="194">
    <w:name w:val="toc 7"/>
    <w:basedOn w:val="664"/>
    <w:next w:val="664"/>
    <w:uiPriority w:val="39"/>
    <w:unhideWhenUsed/>
    <w:pPr>
      <w:pBdr/>
      <w:spacing w:after="100"/>
      <w:ind w:left="1320"/>
    </w:pPr>
  </w:style>
  <w:style w:type="paragraph" w:styleId="195">
    <w:name w:val="toc 8"/>
    <w:basedOn w:val="664"/>
    <w:next w:val="664"/>
    <w:uiPriority w:val="39"/>
    <w:unhideWhenUsed/>
    <w:pPr>
      <w:pBdr/>
      <w:spacing w:after="100"/>
      <w:ind w:left="1540"/>
    </w:pPr>
  </w:style>
  <w:style w:type="paragraph" w:styleId="196">
    <w:name w:val="toc 9"/>
    <w:basedOn w:val="664"/>
    <w:next w:val="664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64"/>
    <w:next w:val="664"/>
    <w:uiPriority w:val="99"/>
    <w:unhideWhenUsed/>
    <w:pPr>
      <w:pBdr/>
      <w:spacing w:after="0" w:afterAutospacing="0"/>
      <w:ind/>
    </w:pPr>
  </w:style>
  <w:style w:type="paragraph" w:styleId="664" w:default="1">
    <w:name w:val="Normal"/>
    <w:qFormat/>
    <w:pPr>
      <w:widowControl w:val="false"/>
      <w:pBdr/>
      <w:spacing/>
      <w:ind/>
    </w:pPr>
    <w:rPr>
      <w:color w:val="00000a"/>
      <w:sz w:val="24"/>
      <w:szCs w:val="24"/>
    </w:rPr>
  </w:style>
  <w:style w:type="character" w:styleId="665" w:default="1">
    <w:name w:val="Default Paragraph Font"/>
    <w:uiPriority w:val="1"/>
    <w:semiHidden/>
    <w:unhideWhenUsed/>
    <w:pPr>
      <w:pBdr/>
      <w:spacing/>
      <w:ind/>
    </w:pPr>
  </w:style>
  <w:style w:type="table" w:styleId="66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7" w:default="1">
    <w:name w:val="No List"/>
    <w:uiPriority w:val="99"/>
    <w:semiHidden/>
    <w:unhideWhenUsed/>
    <w:pPr>
      <w:pBdr/>
      <w:spacing/>
      <w:ind/>
    </w:pPr>
  </w:style>
  <w:style w:type="character" w:styleId="668" w:customStyle="1">
    <w:name w:val="Font Style11"/>
    <w:basedOn w:val="665"/>
    <w:uiPriority w:val="99"/>
    <w:qFormat/>
    <w:pPr>
      <w:pBdr/>
      <w:spacing/>
      <w:ind/>
    </w:pPr>
    <w:rPr>
      <w:rFonts w:ascii="Times New Roman" w:hAnsi="Times New Roman" w:cs="Times New Roman"/>
      <w:sz w:val="20"/>
      <w:szCs w:val="20"/>
    </w:rPr>
  </w:style>
  <w:style w:type="character" w:styleId="669" w:customStyle="1">
    <w:name w:val="Font Style12"/>
    <w:basedOn w:val="665"/>
    <w:uiPriority w:val="99"/>
    <w:qFormat/>
    <w:pPr>
      <w:pBdr/>
      <w:spacing/>
      <w:ind/>
    </w:pPr>
    <w:rPr>
      <w:rFonts w:ascii="Arial Narrow" w:hAnsi="Arial Narrow" w:cs="Arial Narrow"/>
      <w:b/>
      <w:bCs/>
      <w:sz w:val="22"/>
      <w:szCs w:val="22"/>
    </w:rPr>
  </w:style>
  <w:style w:type="character" w:styleId="670" w:customStyle="1">
    <w:name w:val="Интернет-ссылка"/>
    <w:basedOn w:val="665"/>
    <w:uiPriority w:val="99"/>
    <w:pPr>
      <w:pBdr/>
      <w:spacing/>
      <w:ind/>
    </w:pPr>
    <w:rPr>
      <w:color w:val="0066cc"/>
      <w:u w:val="single"/>
    </w:rPr>
  </w:style>
  <w:style w:type="character" w:styleId="671">
    <w:name w:val="footnote reference"/>
    <w:semiHidden/>
    <w:qFormat/>
    <w:pPr>
      <w:pBdr/>
      <w:spacing/>
      <w:ind/>
    </w:pPr>
    <w:rPr>
      <w:rFonts w:ascii="Times New Roman" w:hAnsi="Times New Roman"/>
      <w:strike w:val="0"/>
      <w:sz w:val="24"/>
      <w:szCs w:val="24"/>
      <w:vertAlign w:val="superscript"/>
    </w:rPr>
  </w:style>
  <w:style w:type="character" w:styleId="672" w:customStyle="1">
    <w:name w:val="Текст сноски Знак"/>
    <w:basedOn w:val="665"/>
    <w:semiHidden/>
    <w:qFormat/>
    <w:pPr>
      <w:pBdr/>
      <w:spacing/>
      <w:ind/>
    </w:pPr>
    <w:rPr>
      <w:rFonts w:ascii="Times New Roman" w:hAnsi="Times New Roman" w:eastAsia="Times New Roman" w:cs="Times New Roman"/>
      <w:sz w:val="20"/>
      <w:szCs w:val="20"/>
    </w:rPr>
  </w:style>
  <w:style w:type="character" w:styleId="673" w:customStyle="1">
    <w:name w:val="Символ сноски"/>
    <w:qFormat/>
    <w:pPr>
      <w:pBdr/>
      <w:spacing/>
      <w:ind/>
    </w:pPr>
  </w:style>
  <w:style w:type="character" w:styleId="674" w:customStyle="1">
    <w:name w:val="Привязка сноски"/>
    <w:pPr>
      <w:pBdr/>
      <w:spacing/>
      <w:ind/>
    </w:pPr>
    <w:rPr>
      <w:vertAlign w:val="superscript"/>
    </w:rPr>
  </w:style>
  <w:style w:type="character" w:styleId="675" w:customStyle="1">
    <w:name w:val="Привязка концевой сноски"/>
    <w:pPr>
      <w:pBdr/>
      <w:spacing/>
      <w:ind/>
    </w:pPr>
    <w:rPr>
      <w:vertAlign w:val="superscript"/>
    </w:rPr>
  </w:style>
  <w:style w:type="character" w:styleId="676" w:customStyle="1">
    <w:name w:val="Символы концевой сноски"/>
    <w:qFormat/>
    <w:pPr>
      <w:pBdr/>
      <w:spacing/>
      <w:ind/>
    </w:pPr>
  </w:style>
  <w:style w:type="paragraph" w:styleId="677" w:customStyle="1">
    <w:name w:val="Заголовок1"/>
    <w:basedOn w:val="664"/>
    <w:next w:val="678"/>
    <w:qFormat/>
    <w:pPr>
      <w:keepNext w:val="true"/>
      <w:pBdr/>
      <w:spacing w:after="120" w:before="240"/>
      <w:ind/>
    </w:pPr>
    <w:rPr>
      <w:rFonts w:ascii="Liberation Sans" w:hAnsi="Liberation Sans" w:eastAsia="Arial Unicode MS" w:cs="Arial Unicode MS"/>
      <w:sz w:val="28"/>
      <w:szCs w:val="28"/>
    </w:rPr>
  </w:style>
  <w:style w:type="paragraph" w:styleId="678">
    <w:name w:val="Body Text"/>
    <w:basedOn w:val="664"/>
    <w:pPr>
      <w:pBdr/>
      <w:spacing w:after="140" w:line="288" w:lineRule="auto"/>
      <w:ind/>
    </w:pPr>
  </w:style>
  <w:style w:type="paragraph" w:styleId="679">
    <w:name w:val="List"/>
    <w:basedOn w:val="678"/>
    <w:pPr>
      <w:pBdr/>
      <w:spacing/>
      <w:ind/>
    </w:pPr>
  </w:style>
  <w:style w:type="paragraph" w:styleId="680">
    <w:name w:val="Caption"/>
    <w:basedOn w:val="664"/>
    <w:qFormat/>
    <w:pPr>
      <w:suppressLineNumbers w:val="true"/>
      <w:pBdr/>
      <w:spacing w:after="120" w:before="120"/>
      <w:ind/>
    </w:pPr>
    <w:rPr>
      <w:i/>
      <w:iCs/>
    </w:rPr>
  </w:style>
  <w:style w:type="paragraph" w:styleId="681">
    <w:name w:val="index heading"/>
    <w:basedOn w:val="664"/>
    <w:qFormat/>
    <w:pPr>
      <w:suppressLineNumbers w:val="true"/>
      <w:pBdr/>
      <w:spacing/>
      <w:ind/>
    </w:pPr>
  </w:style>
  <w:style w:type="paragraph" w:styleId="682" w:customStyle="1">
    <w:name w:val="Style1"/>
    <w:basedOn w:val="664"/>
    <w:uiPriority w:val="99"/>
    <w:qFormat/>
    <w:pPr>
      <w:pBdr/>
      <w:spacing/>
      <w:ind/>
    </w:pPr>
  </w:style>
  <w:style w:type="paragraph" w:styleId="683" w:customStyle="1">
    <w:name w:val="Style2"/>
    <w:basedOn w:val="664"/>
    <w:uiPriority w:val="99"/>
    <w:qFormat/>
    <w:pPr>
      <w:pBdr/>
      <w:spacing w:line="246" w:lineRule="exact"/>
      <w:ind w:firstLine="312"/>
      <w:jc w:val="both"/>
    </w:pPr>
  </w:style>
  <w:style w:type="paragraph" w:styleId="684" w:customStyle="1">
    <w:name w:val="Style3"/>
    <w:basedOn w:val="664"/>
    <w:uiPriority w:val="99"/>
    <w:qFormat/>
    <w:pPr>
      <w:pBdr/>
      <w:spacing w:line="254" w:lineRule="exact"/>
      <w:ind w:firstLine="312"/>
      <w:jc w:val="both"/>
    </w:pPr>
  </w:style>
  <w:style w:type="paragraph" w:styleId="685">
    <w:name w:val="footnote text"/>
    <w:basedOn w:val="664"/>
    <w:pPr>
      <w:pBdr/>
      <w:spacing/>
      <w:ind/>
    </w:pPr>
  </w:style>
  <w:style w:type="paragraph" w:styleId="686">
    <w:name w:val="List Paragraph"/>
    <w:basedOn w:val="664"/>
    <w:qFormat/>
    <w:pPr>
      <w:pBdr/>
      <w:spacing/>
      <w:ind w:left="720"/>
      <w:contextualSpacing w:val="true"/>
    </w:pPr>
  </w:style>
  <w:style w:type="paragraph" w:styleId="687" w:customStyle="1">
    <w:name w:val="Table Paragraph"/>
    <w:basedOn w:val="664"/>
    <w:uiPriority w:val="1"/>
    <w:qFormat/>
    <w:pPr>
      <w:pBdr/>
      <w:spacing/>
      <w:ind w:left="534"/>
    </w:pPr>
    <w:rPr>
      <w:rFonts w:ascii="Times New Roman" w:hAnsi="Times New Roman" w:eastAsia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dc:language>ru-RU</dc:language>
  <cp:revision>93</cp:revision>
  <dcterms:created xsi:type="dcterms:W3CDTF">2019-12-17T09:53:00Z</dcterms:created>
  <dcterms:modified xsi:type="dcterms:W3CDTF">2025-01-16T15:14:10Z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