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Обоснование </w:t>
      </w:r>
      <w:r>
        <w:rPr>
          <w:b/>
          <w:color w:val="000000" w:themeColor="text1"/>
          <w:sz w:val="28"/>
          <w:szCs w:val="28"/>
        </w:rPr>
      </w:r>
    </w:p>
    <w:p>
      <w:pPr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необходимости реализации предлагаемых решений посредством принятия</w:t>
      </w:r>
      <w:r>
        <w:rPr>
          <w:b/>
          <w:color w:val="000000" w:themeColor="text1"/>
          <w:sz w:val="28"/>
          <w:szCs w:val="28"/>
        </w:rPr>
        <w:t xml:space="preserve"> </w:t>
      </w:r>
      <w:r>
        <w:rPr>
          <w:b/>
          <w:color w:val="000000" w:themeColor="text1"/>
          <w:sz w:val="28"/>
          <w:szCs w:val="28"/>
        </w:rPr>
        <w:t xml:space="preserve">нормативного правового акта, в том числе их влияния</w:t>
      </w:r>
      <w:r>
        <w:rPr>
          <w:b/>
          <w:color w:val="000000" w:themeColor="text1"/>
          <w:sz w:val="28"/>
          <w:szCs w:val="28"/>
        </w:rPr>
        <w:t xml:space="preserve"> на конкуренцию </w:t>
      </w:r>
      <w:r>
        <w:rPr>
          <w:b/>
          <w:color w:val="000000" w:themeColor="text1"/>
          <w:sz w:val="28"/>
          <w:szCs w:val="28"/>
        </w:rPr>
      </w:r>
    </w:p>
    <w:p>
      <w:pPr>
        <w:pBdr/>
        <w:spacing/>
        <w:ind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</w:r>
      <w:r>
        <w:rPr>
          <w:b/>
          <w:color w:val="000000" w:themeColor="text1"/>
          <w:sz w:val="28"/>
          <w:szCs w:val="28"/>
        </w:rPr>
      </w: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44"/>
      </w:tblGrid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Style w:val="791"/>
              <w:pBdr/>
              <w:spacing/>
              <w:ind w:right="20" w:firstLine="831" w:left="20"/>
              <w:jc w:val="both"/>
              <w:rPr/>
            </w:pPr>
            <w:r>
              <w:t xml:space="preserve">Проект </w:t>
            </w:r>
            <w:r>
              <w:t xml:space="preserve">постановления </w:t>
            </w:r>
            <w:r>
              <w:t xml:space="preserve">администрации муниципального района</w:t>
            </w:r>
            <w:r>
              <w:t xml:space="preserve"> </w:t>
            </w:r>
            <w:r>
              <w:t xml:space="preserve">«Ивнянский район» Белгородской области </w:t>
            </w:r>
            <w:r>
              <w:rPr>
                <w:bCs w:val="0"/>
              </w:rPr>
              <w:t xml:space="preserve">«О направлениях мер поддержка участников специально военной операции и членов их семей на территории Ивнянского района»</w:t>
            </w:r>
            <w:r/>
          </w:p>
          <w:p>
            <w:pPr>
              <w:pBdr>
                <w:bottom w:val="single" w:color="000000" w:sz="12" w:space="1"/>
              </w:pBdr>
              <w:spacing/>
              <w:ind/>
              <w:jc w:val="center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</w:rPr>
            </w:r>
            <w:r>
              <w:rPr>
                <w:i/>
                <w:color w:val="000000" w:themeColor="text1"/>
              </w:rPr>
            </w:r>
          </w:p>
          <w:p>
            <w:pPr>
              <w:pBdr>
                <w:bottom w:val="single" w:color="000000" w:sz="12" w:space="1"/>
              </w:pBdr>
              <w:spacing/>
              <w:ind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Управление социальной защиты населения администрации </w:t>
            </w:r>
            <w:r>
              <w:rPr>
                <w:b/>
                <w:sz w:val="24"/>
                <w:szCs w:val="24"/>
              </w:rPr>
              <w:t xml:space="preserve">Ивнянского района</w:t>
            </w:r>
            <w:r>
              <w:rPr>
                <w:b/>
                <w:sz w:val="24"/>
                <w:szCs w:val="24"/>
              </w:rPr>
            </w:r>
          </w:p>
          <w:p>
            <w:pPr>
              <w:pBdr/>
              <w:spacing/>
              <w:ind/>
              <w:rPr>
                <w:i/>
                <w:color w:val="000000" w:themeColor="text1"/>
                <w:sz w:val="24"/>
                <w:szCs w:val="24"/>
              </w:rPr>
            </w:pPr>
            <w:r>
              <w:rPr>
                <w:i/>
                <w:color w:val="000000" w:themeColor="text1"/>
                <w:sz w:val="24"/>
                <w:szCs w:val="24"/>
              </w:rPr>
            </w:r>
            <w:r>
              <w:rPr>
                <w:i/>
                <w:color w:val="000000" w:themeColor="text1"/>
                <w:sz w:val="24"/>
                <w:szCs w:val="24"/>
              </w:rPr>
            </w:r>
          </w:p>
        </w:tc>
      </w:tr>
      <w:tr>
        <w:trPr>
          <w:trHeight w:val="609"/>
        </w:trPr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1.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Обоснование необходимости принятия нормативного правового акта (основания, концепция, цели, задачи, последствия принятия):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-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В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 исполнение постановления Правительства Белгородской области от 28 декабря 20245 года № 679-пп «О реализации  в Белгородской области Ед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иного стандарта региональных мер поддержки участников специальной военной операции и членов их семей», в целях совершенствования на территории Ивнянского района правового регулирования мер поддержки участников специальной военной операции и членов их семей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r/>
            <w:bookmarkEnd w:id="0"/>
            <w:r/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2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. Информация о влиянии положений проекта нормативного правового акта на состояние конкурентной среды на рынках товаров, работ, услуг Белгородской области (окажет/не окажет, если окажет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укажите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 xml:space="preserve">Положения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проекта нормативного правового акта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 окажут влияния</w:t>
            </w:r>
            <w: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на состояние конкурентной среды на рынках товаров, работ, услуг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Ивнянского района</w:t>
            </w:r>
            <w:r>
              <w:rPr>
                <w:color w:val="000000"/>
                <w:sz w:val="24"/>
                <w:szCs w:val="24"/>
                <w:lang w:eastAsia="en-US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</w:t>
            </w:r>
            <w:r>
              <w:rPr>
                <w:sz w:val="24"/>
                <w:szCs w:val="24"/>
              </w:rPr>
              <w:t xml:space="preserve">. </w:t>
            </w:r>
            <w:r>
              <w:rPr>
                <w:sz w:val="24"/>
                <w:szCs w:val="24"/>
              </w:rPr>
              <w:t xml:space="preserve">Информация </w:t>
            </w:r>
            <w:r>
              <w:rPr>
                <w:sz w:val="24"/>
                <w:szCs w:val="24"/>
              </w:rPr>
              <w:t xml:space="preserve">о положениях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проекта нормативного правового акта, которые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могут привести к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недопущению, ограничению или устранению конкуренции на рынках товаров, работ, услуг Белгородской области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(отсутствуют/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присутствуют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, если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присутствуют, 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отразите короткое обоснование их наличия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)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:</w:t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Borders/>
            <w:tcW w:w="9854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</w:t>
            </w:r>
            <w:r>
              <w:rPr>
                <w:sz w:val="24"/>
                <w:szCs w:val="24"/>
              </w:rPr>
              <w:t xml:space="preserve">тсутству</w:t>
            </w:r>
            <w:r>
              <w:rPr>
                <w:sz w:val="24"/>
                <w:szCs w:val="24"/>
              </w:rPr>
              <w:t xml:space="preserve">ю</w:t>
            </w:r>
            <w:r>
              <w:rPr>
                <w:sz w:val="24"/>
                <w:szCs w:val="24"/>
              </w:rPr>
              <w:t xml:space="preserve">т</w:t>
            </w:r>
            <w:r>
              <w:rPr>
                <w:sz w:val="24"/>
                <w:szCs w:val="24"/>
              </w:rPr>
            </w:r>
          </w:p>
        </w:tc>
      </w:tr>
    </w:tbl>
    <w:p>
      <w:pPr>
        <w:pBdr/>
        <w:spacing/>
        <w:ind/>
        <w:jc w:val="right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</w:r>
      <w:r>
        <w:rPr>
          <w:color w:val="000000" w:themeColor="text1"/>
          <w:sz w:val="28"/>
          <w:szCs w:val="28"/>
        </w:rPr>
      </w:r>
    </w:p>
    <w:p>
      <w:pPr>
        <w:pBdr/>
        <w:spacing/>
        <w:ind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sectPr>
      <w:headerReference w:type="default" r:id="rId9"/>
      <w:footnotePr/>
      <w:endnotePr/>
      <w:type w:val="nextPage"/>
      <w:pgSz w:h="16838" w:orient="portrait" w:w="11906"/>
      <w:pgMar w:top="1134" w:right="851" w:bottom="1134" w:left="1701" w:header="709" w:footer="709" w:gutter="0"/>
      <w:cols w:num="1" w:sep="0" w:space="708" w:equalWidth="1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/>
        <w:ind/>
        <w:rPr/>
      </w:pPr>
      <w:r>
        <w:separator/>
      </w:r>
      <w:r/>
    </w:p>
  </w:endnote>
  <w:endnote w:type="continuationSeparator" w:id="0">
    <w:p>
      <w:pPr>
        <w:pBdr/>
        <w:spacing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Albertus Extra Bold">
    <w:panose1 w:val="05040102010807070707"/>
  </w:font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/>
        <w:ind/>
        <w:rPr/>
      </w:pPr>
      <w:r>
        <w:separator/>
      </w:r>
      <w:r/>
    </w:p>
  </w:footnote>
  <w:footnote w:type="continuationSeparator" w:id="0">
    <w:p>
      <w:pPr>
        <w:pBdr/>
        <w:spacing/>
        <w:ind/>
        <w:rPr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8118316"/>
      <w:docPartObj>
        <w:docPartGallery w:val="Page Numbers (Top of Page)"/>
        <w:docPartUnique w:val="true"/>
      </w:docPartObj>
      <w:rPr/>
    </w:sdtPr>
    <w:sdtContent>
      <w:p>
        <w:pPr>
          <w:pStyle w:val="777"/>
          <w:pBdr/>
          <w:spacing/>
          <w:ind/>
          <w:jc w:val="center"/>
          <w:rPr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777"/>
      <w:pBdr/>
      <w:spacing/>
      <w:ind/>
      <w:rPr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">
    <w:lvl w:ilvl="0">
      <w:isLgl w:val="false"/>
      <w:lvlJc w:val="left"/>
      <w:lvlText w:val="%1."/>
      <w:numFmt w:val="decimal"/>
      <w:pPr>
        <w:pBdr/>
        <w:spacing/>
        <w:ind w:hanging="390" w:left="390"/>
      </w:pPr>
      <w:rPr>
        <w:rFonts w:hint="default" w:cs="Times New Roman"/>
      </w:rPr>
      <w:start w:val="3"/>
      <w:suff w:val="tab"/>
    </w:lvl>
    <w:lvl w:ilvl="1">
      <w:isLgl w:val="false"/>
      <w:lvlJc w:val="left"/>
      <w:lvlText w:val="%1.%2."/>
      <w:numFmt w:val="decimal"/>
      <w:pPr>
        <w:pBdr/>
        <w:spacing/>
        <w:ind w:hanging="720" w:left="720"/>
      </w:pPr>
      <w:rPr>
        <w:rFonts w:hint="default" w:cs="Times New Roman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rPr>
        <w:rFonts w:hint="default" w:cs="Times New Roman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 w:cs="Times New Roman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 w:cs="Times New Roman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 w:cs="Times New Roman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440" w:left="1440"/>
      </w:pPr>
      <w:rPr>
        <w:rFonts w:hint="default" w:cs="Times New Roman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 w:cs="Times New Roman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800" w:left="1800"/>
      </w:pPr>
      <w:rPr>
        <w:rFonts w:hint="default" w:cs="Times New Roman"/>
      </w:rPr>
      <w:start w:val="1"/>
      <w:suff w:val="tab"/>
    </w:lvl>
  </w:abstractNum>
  <w:abstractNum w:abstractNumId="3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4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4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/>
        <w:sz w:val="28"/>
        <w:szCs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360" w:left="360"/>
      </w:pPr>
      <w:rPr>
        <w:rFonts w:hint="default"/>
        <w:sz w:val="28"/>
        <w:szCs w:val="28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</w:abstractNum>
  <w:abstractNum w:abstractNumId="5">
    <w:lvl w:ilvl="0">
      <w:isLgl w:val="false"/>
      <w:lvlJc w:val="left"/>
      <w:lvlText w:val="%1."/>
      <w:numFmt w:val="decimal"/>
      <w:pPr>
        <w:pBdr/>
        <w:spacing/>
        <w:ind w:hanging="360" w:left="1069"/>
      </w:pPr>
      <w:rPr>
        <w:rFonts w:hint="default"/>
      </w:rPr>
      <w:start w:val="7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789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09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29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49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69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389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09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29"/>
      </w:pPr>
      <w:rPr/>
      <w:start w:val="1"/>
      <w:suff w:val="tab"/>
    </w:lvl>
  </w:abstractNum>
  <w:abstractNum w:abstractNumId="6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7">
    <w:lvl w:ilvl="0">
      <w:isLgl w:val="false"/>
      <w:lvlJc w:val="left"/>
      <w:lvlText w:val="%1."/>
      <w:numFmt w:val="decimal"/>
      <w:pPr>
        <w:pBdr/>
        <w:spacing/>
        <w:ind w:hanging="675" w:left="675"/>
      </w:pPr>
      <w:rPr>
        <w:rFonts w:hint="default"/>
      </w:rPr>
      <w:start w:val="5"/>
      <w:suff w:val="tab"/>
    </w:lvl>
    <w:lvl w:ilvl="1">
      <w:isLgl w:val="false"/>
      <w:lvlJc w:val="left"/>
      <w:lvlText w:val="%1.%2."/>
      <w:numFmt w:val="decimal"/>
      <w:pPr>
        <w:pBdr/>
        <w:spacing/>
        <w:ind w:hanging="720" w:left="862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1004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506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648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215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2652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2794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3296"/>
      </w:pPr>
      <w:rPr>
        <w:rFonts w:hint="default"/>
      </w:rPr>
      <w:start w:val="1"/>
      <w:suff w:val="tab"/>
    </w:lvl>
  </w:abstractNum>
  <w:abstractNum w:abstractNumId="8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cs="Times New Roman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432" w:left="4402"/>
      </w:pPr>
      <w:rPr>
        <w:rFonts w:cs="Times New Roman"/>
        <w:strike w:val="0"/>
        <w:color w:val="auto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504" w:left="1224"/>
      </w:pPr>
      <w:rPr>
        <w:rFonts w:cs="Times New Roman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648" w:left="1728"/>
      </w:pPr>
      <w:rPr>
        <w:rFonts w:cs="Times New Roman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792" w:left="2232"/>
      </w:pPr>
      <w:rPr>
        <w:rFonts w:cs="Times New Roman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936" w:left="2736"/>
      </w:pPr>
      <w:rPr>
        <w:rFonts w:cs="Times New Roman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080" w:left="3240"/>
      </w:pPr>
      <w:rPr>
        <w:rFonts w:cs="Times New Roman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224" w:left="3744"/>
      </w:pPr>
      <w:rPr>
        <w:rFonts w:cs="Times New Roman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1440" w:left="4320"/>
      </w:pPr>
      <w:rPr>
        <w:rFonts w:cs="Times New Roman"/>
      </w:rPr>
      <w:start w:val="1"/>
      <w:suff w:val="tab"/>
    </w:lvl>
  </w:abstractNum>
  <w:abstractNum w:abstractNumId="9">
    <w:lvl w:ilvl="0">
      <w:isLgl w:val="false"/>
      <w:lvlJc w:val="left"/>
      <w:lvlText w:val="%1."/>
      <w:numFmt w:val="decimal"/>
      <w:pPr>
        <w:pBdr/>
        <w:spacing/>
        <w:ind w:hanging="450" w:left="450"/>
      </w:pPr>
      <w:rPr>
        <w:rFonts w:hint="default"/>
      </w:rPr>
      <w:start w:val="2"/>
      <w:suff w:val="tab"/>
    </w:lvl>
    <w:lvl w:ilvl="1">
      <w:isLgl w:val="false"/>
      <w:lvlJc w:val="left"/>
      <w:lvlText w:val="%1.%2.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10">
    <w:lvl w:ilvl="0">
      <w:isLgl w:val="false"/>
      <w:lvlJc w:val="left"/>
      <w:lvlText w:val="%1."/>
      <w:numFmt w:val="decimal"/>
      <w:pPr>
        <w:pBdr/>
        <w:spacing/>
        <w:ind w:hanging="450" w:left="1018"/>
      </w:pPr>
      <w:rPr>
        <w:rFonts w:hint="default"/>
        <w:sz w:val="28"/>
        <w:szCs w:val="28"/>
      </w:rPr>
      <w:start w:val="1"/>
      <w:suff w:val="tab"/>
    </w:lvl>
    <w:lvl w:ilvl="1">
      <w:isLgl w:val="false"/>
      <w:lvlJc w:val="left"/>
      <w:lvlText w:val="%1.%2."/>
      <w:numFmt w:val="decimal"/>
      <w:pPr>
        <w:pBdr/>
        <w:spacing/>
        <w:ind w:hanging="720" w:left="862"/>
      </w:pPr>
      <w:rPr>
        <w:rFonts w:hint="default"/>
      </w:rPr>
      <w:start w:val="1"/>
      <w:suff w:val="tab"/>
    </w:lvl>
    <w:lvl w:ilvl="2">
      <w:isLgl w:val="false"/>
      <w:lvlJc w:val="left"/>
      <w:lvlText w:val="%1.%2.%3."/>
      <w:numFmt w:val="decimal"/>
      <w:pPr>
        <w:pBdr/>
        <w:spacing/>
        <w:ind w:hanging="720" w:left="1004"/>
      </w:pPr>
      <w:rPr>
        <w:rFonts w:hint="default"/>
      </w:rPr>
      <w:start w:val="1"/>
      <w:suff w:val="tab"/>
    </w:lvl>
    <w:lvl w:ilvl="3">
      <w:isLgl w:val="false"/>
      <w:lvlJc w:val="left"/>
      <w:lvlText w:val="%1.%2.%3.%4."/>
      <w:numFmt w:val="decimal"/>
      <w:pPr>
        <w:pBdr/>
        <w:spacing/>
        <w:ind w:hanging="1080" w:left="1506"/>
      </w:pPr>
      <w:rPr>
        <w:rFonts w:hint="default"/>
      </w:rPr>
      <w:start w:val="1"/>
      <w:suff w:val="tab"/>
    </w:lvl>
    <w:lvl w:ilvl="4">
      <w:isLgl w:val="false"/>
      <w:lvlJc w:val="left"/>
      <w:lvlText w:val="%1.%2.%3.%4.%5."/>
      <w:numFmt w:val="decimal"/>
      <w:pPr>
        <w:pBdr/>
        <w:spacing/>
        <w:ind w:hanging="1080" w:left="1648"/>
      </w:pPr>
      <w:rPr>
        <w:rFonts w:hint="default"/>
      </w:rPr>
      <w:start w:val="1"/>
      <w:suff w:val="tab"/>
    </w:lvl>
    <w:lvl w:ilvl="5">
      <w:isLgl w:val="false"/>
      <w:lvlJc w:val="left"/>
      <w:lvlText w:val="%1.%2.%3.%4.%5.%6."/>
      <w:numFmt w:val="decimal"/>
      <w:pPr>
        <w:pBdr/>
        <w:spacing/>
        <w:ind w:hanging="1440" w:left="215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."/>
      <w:numFmt w:val="decimal"/>
      <w:pPr>
        <w:pBdr/>
        <w:spacing/>
        <w:ind w:hanging="1800" w:left="2652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."/>
      <w:numFmt w:val="decimal"/>
      <w:pPr>
        <w:pBdr/>
        <w:spacing/>
        <w:ind w:hanging="1800" w:left="2794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."/>
      <w:numFmt w:val="decimal"/>
      <w:pPr>
        <w:pBdr/>
        <w:spacing/>
        <w:ind w:hanging="2160" w:left="3296"/>
      </w:pPr>
      <w:rPr>
        <w:rFonts w:hint="default"/>
      </w:rPr>
      <w:start w:val="1"/>
      <w:suff w:val="tab"/>
    </w:lvl>
  </w:abstractNum>
  <w:abstractNum w:abstractNumId="11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2">
    <w:lvl w:ilvl="0">
      <w:isLgl w:val="false"/>
      <w:lvlJc w:val="left"/>
      <w:lvlText w:val="%1."/>
      <w:numFmt w:val="decimal"/>
      <w:pPr>
        <w:pBdr/>
        <w:spacing/>
        <w:ind w:hanging="360" w:left="502"/>
      </w:pPr>
      <w:rPr>
        <w:rFonts w:hint="default"/>
        <w:sz w:val="28"/>
        <w:szCs w:val="28"/>
      </w:rPr>
      <w:start w:val="1"/>
      <w:suff w:val="tab"/>
    </w:lvl>
    <w:lvl w:ilvl="1">
      <w:isLgl w:val="true"/>
      <w:lvlJc w:val="left"/>
      <w:lvlText w:val="%1.%2"/>
      <w:numFmt w:val="decimal"/>
      <w:pPr>
        <w:pBdr/>
        <w:spacing/>
        <w:ind w:hanging="600" w:left="600"/>
      </w:pPr>
      <w:rPr>
        <w:rFonts w:hint="default"/>
      </w:rPr>
      <w:start w:val="2"/>
      <w:suff w:val="tab"/>
    </w:lvl>
    <w:lvl w:ilvl="2">
      <w:isLgl w:val="true"/>
      <w:lvlJc w:val="left"/>
      <w:lvlText w:val="%1.%2.%3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3">
      <w:isLgl w:val="true"/>
      <w:lvlJc w:val="left"/>
      <w:lvlText w:val="%1.%2.%3.%4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tru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true"/>
      <w:lvlJc w:val="left"/>
      <w:lvlText w:val="%1.%2.%3.%4.%5.%6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tru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7">
      <w:isLgl w:val="true"/>
      <w:lvlJc w:val="left"/>
      <w:lvlText w:val="%1.%2.%3.%4.%5.%6.%7.%8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8">
      <w:isLgl w:val="true"/>
      <w:lvlJc w:val="left"/>
      <w:lvlText w:val="%1.%2.%3.%4.%5.%6.%7.%8.%9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13">
    <w:lvl w:ilvl="0">
      <w:isLgl w:val="false"/>
      <w:lvlJc w:val="left"/>
      <w:lvlText w:val="%1."/>
      <w:numFmt w:val="decimal"/>
      <w:pPr>
        <w:pBdr/>
        <w:spacing/>
        <w:ind w:hanging="360" w:left="360"/>
      </w:pPr>
      <w:rPr>
        <w:rFonts w:hint="default" w:eastAsiaTheme="minorHAnsi"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08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180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52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24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396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468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40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120"/>
      </w:pPr>
      <w:rPr/>
      <w:start w:val="1"/>
      <w:suff w:val="tab"/>
    </w:lvl>
  </w:abstractNum>
  <w:abstractNum w:abstractNumId="14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5">
    <w:lvl w:ilvl="0">
      <w:isLgl w:val="false"/>
      <w:lvlJc w:val="left"/>
      <w:lvlText w:val="%1"/>
      <w:numFmt w:val="decimal"/>
      <w:pPr>
        <w:pBdr/>
        <w:spacing/>
        <w:ind w:hanging="375" w:left="375"/>
      </w:pPr>
      <w:rPr>
        <w:rFonts w:hint="default"/>
      </w:rPr>
      <w:start w:val="5"/>
      <w:suff w:val="tab"/>
    </w:lvl>
    <w:lvl w:ilvl="1">
      <w:isLgl w:val="false"/>
      <w:lvlJc w:val="left"/>
      <w:lvlText w:val="%1.%2"/>
      <w:numFmt w:val="decimal"/>
      <w:pPr>
        <w:pBdr/>
        <w:spacing/>
        <w:ind w:hanging="375" w:left="375"/>
      </w:pPr>
      <w:rPr>
        <w:rFonts w:hint="default"/>
      </w:rPr>
      <w:start w:val="1"/>
      <w:suff w:val="tab"/>
    </w:lvl>
    <w:lvl w:ilvl="2">
      <w:isLgl w:val="false"/>
      <w:lvlJc w:val="left"/>
      <w:lvlText w:val="%1.%2.%3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3">
      <w:isLgl w:val="false"/>
      <w:lvlJc w:val="left"/>
      <w:lvlText w:val="%1.%2.%3.%4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false"/>
      <w:lvlJc w:val="left"/>
      <w:lvlText w:val="%1.%2.%3.%4.%5.%6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abstractNum w:abstractNumId="16">
    <w:lvl w:ilvl="0">
      <w:isLgl w:val="false"/>
      <w:lvlJc w:val="left"/>
      <w:lvlText w:val="%1."/>
      <w:numFmt w:val="decimal"/>
      <w:pPr>
        <w:pBdr/>
        <w:spacing/>
        <w:ind w:hanging="360" w:left="108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80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52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24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96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68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40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12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840"/>
      </w:pPr>
      <w:rPr/>
      <w:start w:val="1"/>
      <w:suff w:val="tab"/>
    </w:lvl>
  </w:abstractNum>
  <w:abstractNum w:abstractNumId="17">
    <w:lvl w:ilvl="0">
      <w:isLgl w:val="false"/>
      <w:lvlJc w:val="left"/>
      <w:lvlText w:val="%1."/>
      <w:numFmt w:val="decimal"/>
      <w:pPr>
        <w:pBdr/>
        <w:spacing/>
        <w:ind w:hanging="360" w:left="720"/>
      </w:pPr>
      <w:rPr>
        <w:rFonts w:hint="default"/>
        <w:b/>
        <w:sz w:val="28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18">
    <w:lvl w:ilvl="0">
      <w:isLgl w:val="false"/>
      <w:lvlJc w:val="left"/>
      <w:lvlText w:val="%1."/>
      <w:numFmt w:val="decimal"/>
      <w:pPr>
        <w:pBdr/>
        <w:spacing/>
        <w:ind w:hanging="360" w:left="1211"/>
      </w:pPr>
      <w:rPr>
        <w:rFonts w:hint="default" w:ascii="Times New Roman" w:hAnsi="Times New Roman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931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651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3371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4091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811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531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6251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971"/>
      </w:pPr>
      <w:rPr/>
      <w:start w:val="1"/>
      <w:suff w:val="tab"/>
    </w:lvl>
  </w:abstractNum>
  <w:abstractNum w:abstractNumId="19">
    <w:lvl w:ilvl="0">
      <w:isLgl w:val="false"/>
      <w:lvlJc w:val="left"/>
      <w:lvlText w:val="%1."/>
      <w:numFmt w:val="upperRoman"/>
      <w:pPr>
        <w:pBdr/>
        <w:spacing/>
        <w:ind w:hanging="720" w:left="1080"/>
      </w:pPr>
      <w:rPr>
        <w:rFonts w:hint="default"/>
      </w:rPr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abstractNum w:abstractNumId="20">
    <w:lvl w:ilvl="0">
      <w:isLgl w:val="false"/>
      <w:lvlJc w:val="left"/>
      <w:lvlText w:val="%1"/>
      <w:numFmt w:val="decimal"/>
      <w:pPr>
        <w:pBdr/>
        <w:spacing/>
        <w:ind w:hanging="375" w:left="375"/>
      </w:pPr>
      <w:rPr>
        <w:rFonts w:hint="default"/>
      </w:rPr>
      <w:start w:val="4"/>
      <w:suff w:val="tab"/>
    </w:lvl>
    <w:lvl w:ilvl="1">
      <w:isLgl w:val="false"/>
      <w:lvlJc w:val="left"/>
      <w:lvlText w:val="%1.%2"/>
      <w:numFmt w:val="decimal"/>
      <w:pPr>
        <w:pBdr/>
        <w:spacing/>
        <w:ind w:hanging="375" w:left="375"/>
      </w:pPr>
      <w:rPr>
        <w:rFonts w:hint="default"/>
      </w:rPr>
      <w:start w:val="1"/>
      <w:suff w:val="tab"/>
    </w:lvl>
    <w:lvl w:ilvl="2">
      <w:isLgl w:val="false"/>
      <w:lvlJc w:val="left"/>
      <w:lvlText w:val="%1.%2.%3"/>
      <w:numFmt w:val="decimal"/>
      <w:pPr>
        <w:pBdr/>
        <w:spacing/>
        <w:ind w:hanging="720" w:left="720"/>
      </w:pPr>
      <w:rPr>
        <w:rFonts w:hint="default"/>
      </w:rPr>
      <w:start w:val="1"/>
      <w:suff w:val="tab"/>
    </w:lvl>
    <w:lvl w:ilvl="3">
      <w:isLgl w:val="false"/>
      <w:lvlJc w:val="left"/>
      <w:lvlText w:val="%1.%2.%3.%4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4">
      <w:isLgl w:val="false"/>
      <w:lvlJc w:val="left"/>
      <w:lvlText w:val="%1.%2.%3.%4.%5"/>
      <w:numFmt w:val="decimal"/>
      <w:pPr>
        <w:pBdr/>
        <w:spacing/>
        <w:ind w:hanging="1080" w:left="1080"/>
      </w:pPr>
      <w:rPr>
        <w:rFonts w:hint="default"/>
      </w:rPr>
      <w:start w:val="1"/>
      <w:suff w:val="tab"/>
    </w:lvl>
    <w:lvl w:ilvl="5">
      <w:isLgl w:val="false"/>
      <w:lvlJc w:val="left"/>
      <w:lvlText w:val="%1.%2.%3.%4.%5.%6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6">
      <w:isLgl w:val="false"/>
      <w:lvlJc w:val="left"/>
      <w:lvlText w:val="%1.%2.%3.%4.%5.%6.%7"/>
      <w:numFmt w:val="decimal"/>
      <w:pPr>
        <w:pBdr/>
        <w:spacing/>
        <w:ind w:hanging="1440" w:left="1440"/>
      </w:pPr>
      <w:rPr>
        <w:rFonts w:hint="default"/>
      </w:rPr>
      <w:start w:val="1"/>
      <w:suff w:val="tab"/>
    </w:lvl>
    <w:lvl w:ilvl="7">
      <w:isLgl w:val="false"/>
      <w:lvlJc w:val="left"/>
      <w:lvlText w:val="%1.%2.%3.%4.%5.%6.%7.%8"/>
      <w:numFmt w:val="decimal"/>
      <w:pPr>
        <w:pBdr/>
        <w:spacing/>
        <w:ind w:hanging="1800" w:left="1800"/>
      </w:pPr>
      <w:rPr>
        <w:rFonts w:hint="default"/>
      </w:rPr>
      <w:start w:val="1"/>
      <w:suff w:val="tab"/>
    </w:lvl>
    <w:lvl w:ilvl="8">
      <w:isLgl w:val="false"/>
      <w:lvlJc w:val="left"/>
      <w:lvlText w:val="%1.%2.%3.%4.%5.%6.%7.%8.%9"/>
      <w:numFmt w:val="decimal"/>
      <w:pPr>
        <w:pBdr/>
        <w:spacing/>
        <w:ind w:hanging="2160" w:left="2160"/>
      </w:pPr>
      <w:rPr>
        <w:rFonts w:hint="default"/>
      </w:rPr>
      <w:start w:val="1"/>
      <w:suff w:val="tab"/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9"/>
  </w:num>
  <w:num w:numId="5">
    <w:abstractNumId w:val="10"/>
  </w:num>
  <w:num w:numId="6">
    <w:abstractNumId w:val="9"/>
  </w:num>
  <w:num w:numId="7">
    <w:abstractNumId w:val="20"/>
  </w:num>
  <w:num w:numId="8">
    <w:abstractNumId w:val="15"/>
  </w:num>
  <w:num w:numId="9">
    <w:abstractNumId w:val="7"/>
  </w:num>
  <w:num w:numId="10">
    <w:abstractNumId w:val="4"/>
  </w:num>
  <w:num w:numId="11">
    <w:abstractNumId w:val="11"/>
  </w:num>
  <w:num w:numId="12">
    <w:abstractNumId w:val="13"/>
  </w:num>
  <w:num w:numId="13">
    <w:abstractNumId w:val="3"/>
  </w:num>
  <w:num w:numId="14">
    <w:abstractNumId w:val="18"/>
  </w:num>
  <w:num w:numId="15">
    <w:abstractNumId w:val="5"/>
  </w:num>
  <w:num w:numId="16">
    <w:abstractNumId w:val="0"/>
  </w:num>
  <w:num w:numId="17">
    <w:abstractNumId w:val="17"/>
  </w:num>
  <w:num w:numId="18">
    <w:abstractNumId w:val="1"/>
  </w:num>
  <w:num w:numId="19">
    <w:abstractNumId w:val="6"/>
  </w:num>
  <w:num w:numId="20">
    <w:abstractNumId w:val="1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76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76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765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7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7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7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7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7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7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765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765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765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9">
    <w:name w:val="Heading 2"/>
    <w:basedOn w:val="762"/>
    <w:next w:val="762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762"/>
    <w:next w:val="762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762"/>
    <w:next w:val="762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762"/>
    <w:next w:val="762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762"/>
    <w:next w:val="762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762"/>
    <w:next w:val="762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762"/>
    <w:next w:val="762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762"/>
    <w:next w:val="762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764"/>
    <w:link w:val="76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764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764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764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764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764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764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764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764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9">
    <w:name w:val="Title Char"/>
    <w:basedOn w:val="764"/>
    <w:link w:val="76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762"/>
    <w:next w:val="762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764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762"/>
    <w:next w:val="762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764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764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762"/>
    <w:next w:val="762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764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764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762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764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764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764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764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764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764"/>
    <w:link w:val="777"/>
    <w:uiPriority w:val="99"/>
    <w:pPr>
      <w:pBdr/>
      <w:spacing/>
      <w:ind/>
    </w:pPr>
  </w:style>
  <w:style w:type="character" w:styleId="178">
    <w:name w:val="Footer Char"/>
    <w:basedOn w:val="764"/>
    <w:link w:val="779"/>
    <w:uiPriority w:val="99"/>
    <w:pPr>
      <w:pBdr/>
      <w:spacing/>
      <w:ind/>
    </w:pPr>
  </w:style>
  <w:style w:type="paragraph" w:styleId="179">
    <w:name w:val="Caption"/>
    <w:basedOn w:val="762"/>
    <w:next w:val="762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762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764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764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762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764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764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764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762"/>
    <w:next w:val="762"/>
    <w:uiPriority w:val="39"/>
    <w:unhideWhenUsed/>
    <w:pPr>
      <w:pBdr/>
      <w:spacing w:after="100"/>
      <w:ind/>
    </w:pPr>
  </w:style>
  <w:style w:type="paragraph" w:styleId="189">
    <w:name w:val="toc 2"/>
    <w:basedOn w:val="762"/>
    <w:next w:val="762"/>
    <w:uiPriority w:val="39"/>
    <w:unhideWhenUsed/>
    <w:pPr>
      <w:pBdr/>
      <w:spacing w:after="100"/>
      <w:ind w:left="220"/>
    </w:pPr>
  </w:style>
  <w:style w:type="paragraph" w:styleId="190">
    <w:name w:val="toc 3"/>
    <w:basedOn w:val="762"/>
    <w:next w:val="762"/>
    <w:uiPriority w:val="39"/>
    <w:unhideWhenUsed/>
    <w:pPr>
      <w:pBdr/>
      <w:spacing w:after="100"/>
      <w:ind w:left="440"/>
    </w:pPr>
  </w:style>
  <w:style w:type="paragraph" w:styleId="191">
    <w:name w:val="toc 4"/>
    <w:basedOn w:val="762"/>
    <w:next w:val="762"/>
    <w:uiPriority w:val="39"/>
    <w:unhideWhenUsed/>
    <w:pPr>
      <w:pBdr/>
      <w:spacing w:after="100"/>
      <w:ind w:left="660"/>
    </w:pPr>
  </w:style>
  <w:style w:type="paragraph" w:styleId="192">
    <w:name w:val="toc 5"/>
    <w:basedOn w:val="762"/>
    <w:next w:val="762"/>
    <w:uiPriority w:val="39"/>
    <w:unhideWhenUsed/>
    <w:pPr>
      <w:pBdr/>
      <w:spacing w:after="100"/>
      <w:ind w:left="880"/>
    </w:pPr>
  </w:style>
  <w:style w:type="paragraph" w:styleId="193">
    <w:name w:val="toc 6"/>
    <w:basedOn w:val="762"/>
    <w:next w:val="762"/>
    <w:uiPriority w:val="39"/>
    <w:unhideWhenUsed/>
    <w:pPr>
      <w:pBdr/>
      <w:spacing w:after="100"/>
      <w:ind w:left="1100"/>
    </w:pPr>
  </w:style>
  <w:style w:type="paragraph" w:styleId="194">
    <w:name w:val="toc 7"/>
    <w:basedOn w:val="762"/>
    <w:next w:val="762"/>
    <w:uiPriority w:val="39"/>
    <w:unhideWhenUsed/>
    <w:pPr>
      <w:pBdr/>
      <w:spacing w:after="100"/>
      <w:ind w:left="1320"/>
    </w:pPr>
  </w:style>
  <w:style w:type="paragraph" w:styleId="195">
    <w:name w:val="toc 8"/>
    <w:basedOn w:val="762"/>
    <w:next w:val="762"/>
    <w:uiPriority w:val="39"/>
    <w:unhideWhenUsed/>
    <w:pPr>
      <w:pBdr/>
      <w:spacing w:after="100"/>
      <w:ind w:left="1540"/>
    </w:pPr>
  </w:style>
  <w:style w:type="paragraph" w:styleId="196">
    <w:name w:val="toc 9"/>
    <w:basedOn w:val="762"/>
    <w:next w:val="762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762"/>
    <w:next w:val="762"/>
    <w:uiPriority w:val="99"/>
    <w:unhideWhenUsed/>
    <w:pPr>
      <w:pBdr/>
      <w:spacing w:after="0" w:afterAutospacing="0"/>
      <w:ind/>
    </w:pPr>
  </w:style>
  <w:style w:type="paragraph" w:styleId="762" w:default="1">
    <w:name w:val="Normal"/>
    <w:qFormat/>
    <w:pPr>
      <w:pBdr/>
      <w:spacing w:after="0" w:line="240" w:lineRule="auto"/>
      <w:ind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763">
    <w:name w:val="Heading 1"/>
    <w:basedOn w:val="762"/>
    <w:next w:val="762"/>
    <w:link w:val="767"/>
    <w:qFormat/>
    <w:pPr>
      <w:keepNext w:val="true"/>
      <w:pBdr/>
      <w:spacing/>
      <w:ind/>
      <w:jc w:val="right"/>
      <w:outlineLvl w:val="0"/>
    </w:pPr>
    <w:rPr>
      <w:b/>
      <w:i/>
      <w:sz w:val="24"/>
    </w:rPr>
  </w:style>
  <w:style w:type="character" w:styleId="764" w:default="1">
    <w:name w:val="Default Paragraph Font"/>
    <w:uiPriority w:val="1"/>
    <w:semiHidden/>
    <w:unhideWhenUsed/>
    <w:pPr>
      <w:pBdr/>
      <w:spacing/>
      <w:ind/>
    </w:pPr>
  </w:style>
  <w:style w:type="table" w:styleId="765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766" w:default="1">
    <w:name w:val="No List"/>
    <w:uiPriority w:val="99"/>
    <w:semiHidden/>
    <w:unhideWhenUsed/>
    <w:pPr>
      <w:pBdr/>
      <w:spacing/>
      <w:ind/>
    </w:pPr>
  </w:style>
  <w:style w:type="character" w:styleId="767" w:customStyle="1">
    <w:name w:val="Заголовок 1 Знак"/>
    <w:basedOn w:val="764"/>
    <w:link w:val="763"/>
    <w:pPr>
      <w:pBdr/>
      <w:spacing/>
      <w:ind/>
    </w:pPr>
    <w:rPr>
      <w:rFonts w:ascii="Times New Roman" w:hAnsi="Times New Roman" w:eastAsia="Calibri" w:cs="Times New Roman"/>
      <w:b/>
      <w:i/>
      <w:sz w:val="24"/>
      <w:szCs w:val="20"/>
      <w:lang w:eastAsia="ru-RU"/>
    </w:rPr>
  </w:style>
  <w:style w:type="paragraph" w:styleId="768">
    <w:name w:val="Title"/>
    <w:basedOn w:val="762"/>
    <w:link w:val="769"/>
    <w:qFormat/>
    <w:pPr>
      <w:pBdr/>
      <w:spacing/>
      <w:ind/>
      <w:jc w:val="center"/>
    </w:pPr>
    <w:rPr>
      <w:sz w:val="28"/>
      <w:szCs w:val="28"/>
    </w:rPr>
  </w:style>
  <w:style w:type="character" w:styleId="769" w:customStyle="1">
    <w:name w:val="Заголовок Знак"/>
    <w:basedOn w:val="764"/>
    <w:link w:val="768"/>
    <w:pPr>
      <w:pBdr/>
      <w:spacing/>
      <w:ind/>
    </w:pPr>
    <w:rPr>
      <w:rFonts w:ascii="Times New Roman" w:hAnsi="Times New Roman" w:eastAsia="Calibri" w:cs="Times New Roman"/>
      <w:sz w:val="28"/>
      <w:szCs w:val="28"/>
      <w:lang w:eastAsia="ru-RU"/>
    </w:rPr>
  </w:style>
  <w:style w:type="paragraph" w:styleId="770" w:customStyle="1">
    <w:name w:val="заголовок 2"/>
    <w:basedOn w:val="762"/>
    <w:next w:val="762"/>
    <w:pPr>
      <w:keepNext w:val="true"/>
      <w:widowControl w:val="false"/>
      <w:pBdr/>
      <w:spacing w:before="120"/>
      <w:ind/>
      <w:jc w:val="both"/>
    </w:pPr>
    <w:rPr>
      <w:rFonts w:ascii="Albertus Extra Bold" w:hAnsi="Albertus Extra Bold"/>
      <w:b/>
      <w:sz w:val="38"/>
    </w:rPr>
  </w:style>
  <w:style w:type="paragraph" w:styleId="771">
    <w:name w:val="List Paragraph"/>
    <w:basedOn w:val="762"/>
    <w:uiPriority w:val="34"/>
    <w:qFormat/>
    <w:pPr>
      <w:pBdr/>
      <w:spacing/>
      <w:ind w:left="720"/>
      <w:contextualSpacing w:val="true"/>
    </w:pPr>
  </w:style>
  <w:style w:type="paragraph" w:styleId="772" w:customStyle="1">
    <w:name w:val="ConsPlusNormal"/>
    <w:pPr>
      <w:pBdr/>
      <w:spacing w:after="0" w:line="240" w:lineRule="auto"/>
      <w:ind/>
    </w:pPr>
    <w:rPr>
      <w:rFonts w:ascii="Arial" w:hAnsi="Arial" w:eastAsia="Calibri" w:cs="Arial"/>
      <w:sz w:val="20"/>
      <w:szCs w:val="20"/>
      <w:lang w:eastAsia="ru-RU"/>
    </w:rPr>
  </w:style>
  <w:style w:type="paragraph" w:styleId="773" w:customStyle="1">
    <w:name w:val="ConsPlusTitle"/>
    <w:pPr>
      <w:widowControl w:val="false"/>
      <w:pBdr/>
      <w:spacing w:after="0" w:line="240" w:lineRule="auto"/>
      <w:ind w:firstLine="709"/>
      <w:jc w:val="both"/>
    </w:pPr>
    <w:rPr>
      <w:rFonts w:ascii="Arial" w:hAnsi="Arial" w:eastAsia="Times New Roman" w:cs="Arial"/>
      <w:b/>
      <w:bCs/>
      <w:sz w:val="20"/>
      <w:szCs w:val="20"/>
      <w:lang w:eastAsia="ru-RU"/>
    </w:rPr>
  </w:style>
  <w:style w:type="paragraph" w:styleId="774" w:customStyle="1">
    <w:name w:val="Default"/>
    <w:pPr>
      <w:pBdr/>
      <w:spacing w:after="0" w:line="240" w:lineRule="auto"/>
      <w:ind/>
    </w:pPr>
    <w:rPr>
      <w:rFonts w:ascii="Times New Roman" w:hAnsi="Times New Roman" w:cs="Times New Roman"/>
      <w:color w:val="000000"/>
      <w:sz w:val="24"/>
      <w:szCs w:val="24"/>
    </w:rPr>
  </w:style>
  <w:style w:type="paragraph" w:styleId="775">
    <w:name w:val="Balloon Text"/>
    <w:basedOn w:val="762"/>
    <w:link w:val="776"/>
    <w:uiPriority w:val="99"/>
    <w:semiHidden/>
    <w:unhideWhenUsed/>
    <w:pPr>
      <w:pBdr/>
      <w:spacing/>
      <w:ind/>
    </w:pPr>
    <w:rPr>
      <w:rFonts w:ascii="Tahoma" w:hAnsi="Tahoma" w:cs="Tahoma"/>
      <w:sz w:val="16"/>
      <w:szCs w:val="16"/>
    </w:rPr>
  </w:style>
  <w:style w:type="character" w:styleId="776" w:customStyle="1">
    <w:name w:val="Текст выноски Знак"/>
    <w:basedOn w:val="764"/>
    <w:link w:val="775"/>
    <w:uiPriority w:val="99"/>
    <w:semiHidden/>
    <w:pPr>
      <w:pBdr/>
      <w:spacing/>
      <w:ind/>
    </w:pPr>
    <w:rPr>
      <w:rFonts w:ascii="Tahoma" w:hAnsi="Tahoma" w:eastAsia="Calibri" w:cs="Tahoma"/>
      <w:sz w:val="16"/>
      <w:szCs w:val="16"/>
      <w:lang w:eastAsia="ru-RU"/>
    </w:rPr>
  </w:style>
  <w:style w:type="paragraph" w:styleId="777">
    <w:name w:val="Header"/>
    <w:basedOn w:val="762"/>
    <w:link w:val="778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78" w:customStyle="1">
    <w:name w:val="Верхний колонтитул Знак"/>
    <w:basedOn w:val="764"/>
    <w:link w:val="777"/>
    <w:uiPriority w:val="99"/>
    <w:pPr>
      <w:pBdr/>
      <w:spacing/>
      <w:ind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779">
    <w:name w:val="Footer"/>
    <w:basedOn w:val="762"/>
    <w:link w:val="780"/>
    <w:uiPriority w:val="99"/>
    <w:unhideWhenUsed/>
    <w:pPr>
      <w:pBdr/>
      <w:tabs>
        <w:tab w:val="center" w:leader="none" w:pos="4677"/>
        <w:tab w:val="right" w:leader="none" w:pos="9355"/>
      </w:tabs>
      <w:spacing/>
      <w:ind/>
    </w:pPr>
  </w:style>
  <w:style w:type="character" w:styleId="780" w:customStyle="1">
    <w:name w:val="Нижний колонтитул Знак"/>
    <w:basedOn w:val="764"/>
    <w:link w:val="779"/>
    <w:uiPriority w:val="99"/>
    <w:pPr>
      <w:pBdr/>
      <w:spacing/>
      <w:ind/>
    </w:pPr>
    <w:rPr>
      <w:rFonts w:ascii="Times New Roman" w:hAnsi="Times New Roman" w:eastAsia="Calibri" w:cs="Times New Roman"/>
      <w:sz w:val="20"/>
      <w:szCs w:val="20"/>
      <w:lang w:eastAsia="ru-RU"/>
    </w:rPr>
  </w:style>
  <w:style w:type="character" w:styleId="781" w:customStyle="1">
    <w:name w:val="Основной текст (2) + Полужирный"/>
    <w:basedOn w:val="764"/>
    <w:pPr>
      <w:pBdr/>
      <w:spacing/>
      <w:ind/>
    </w:pPr>
    <w:rPr>
      <w:rFonts w:ascii="Times New Roman" w:hAnsi="Times New Roman" w:cs="Times New Roman"/>
      <w:b/>
      <w:bCs/>
      <w:color w:val="000000"/>
      <w:spacing w:val="0"/>
      <w:position w:val="0"/>
      <w:sz w:val="28"/>
      <w:szCs w:val="28"/>
      <w:u w:val="none"/>
      <w:lang w:val="ru-RU" w:eastAsia="ru-RU"/>
    </w:rPr>
  </w:style>
  <w:style w:type="character" w:styleId="782" w:customStyle="1">
    <w:name w:val="Основной текст (2)"/>
    <w:basedOn w:val="764"/>
    <w:pPr>
      <w:pBdr/>
      <w:spacing/>
      <w:ind/>
    </w:pPr>
    <w:rPr>
      <w:rFonts w:ascii="Times New Roman" w:hAnsi="Times New Roman" w:cs="Times New Roman"/>
      <w:color w:val="000000"/>
      <w:spacing w:val="0"/>
      <w:position w:val="0"/>
      <w:sz w:val="28"/>
      <w:szCs w:val="28"/>
      <w:u w:val="none"/>
      <w:lang w:val="ru-RU" w:eastAsia="ru-RU"/>
    </w:rPr>
  </w:style>
  <w:style w:type="table" w:styleId="783">
    <w:name w:val="Table Grid"/>
    <w:basedOn w:val="765"/>
    <w:uiPriority w:val="59"/>
    <w:pPr>
      <w:pBdr/>
      <w:spacing w:after="0" w:line="240" w:lineRule="auto"/>
      <w:ind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784">
    <w:name w:val="annotation reference"/>
    <w:basedOn w:val="764"/>
    <w:uiPriority w:val="99"/>
    <w:semiHidden/>
    <w:unhideWhenUsed/>
    <w:pPr>
      <w:pBdr/>
      <w:spacing/>
      <w:ind/>
    </w:pPr>
    <w:rPr>
      <w:sz w:val="16"/>
      <w:szCs w:val="16"/>
    </w:rPr>
  </w:style>
  <w:style w:type="paragraph" w:styleId="785">
    <w:name w:val="annotation text"/>
    <w:basedOn w:val="762"/>
    <w:link w:val="786"/>
    <w:uiPriority w:val="99"/>
    <w:semiHidden/>
    <w:unhideWhenUsed/>
    <w:pPr>
      <w:pBdr/>
      <w:spacing/>
      <w:ind/>
    </w:pPr>
  </w:style>
  <w:style w:type="character" w:styleId="786" w:customStyle="1">
    <w:name w:val="Текст примечания Знак"/>
    <w:basedOn w:val="764"/>
    <w:link w:val="785"/>
    <w:uiPriority w:val="99"/>
    <w:semiHidden/>
    <w:pPr>
      <w:pBdr/>
      <w:spacing/>
      <w:ind/>
    </w:pPr>
    <w:rPr>
      <w:rFonts w:ascii="Times New Roman" w:hAnsi="Times New Roman" w:eastAsia="Calibri" w:cs="Times New Roman"/>
      <w:sz w:val="20"/>
      <w:szCs w:val="20"/>
      <w:lang w:eastAsia="ru-RU"/>
    </w:rPr>
  </w:style>
  <w:style w:type="paragraph" w:styleId="787">
    <w:name w:val="annotation subject"/>
    <w:basedOn w:val="785"/>
    <w:next w:val="785"/>
    <w:link w:val="788"/>
    <w:uiPriority w:val="99"/>
    <w:semiHidden/>
    <w:unhideWhenUsed/>
    <w:pPr>
      <w:pBdr/>
      <w:spacing/>
      <w:ind/>
    </w:pPr>
    <w:rPr>
      <w:b/>
      <w:bCs/>
    </w:rPr>
  </w:style>
  <w:style w:type="character" w:styleId="788" w:customStyle="1">
    <w:name w:val="Тема примечания Знак"/>
    <w:basedOn w:val="786"/>
    <w:link w:val="787"/>
    <w:uiPriority w:val="99"/>
    <w:semiHidden/>
    <w:pPr>
      <w:pBdr/>
      <w:spacing/>
      <w:ind/>
    </w:pPr>
    <w:rPr>
      <w:rFonts w:ascii="Times New Roman" w:hAnsi="Times New Roman" w:eastAsia="Calibri" w:cs="Times New Roman"/>
      <w:b/>
      <w:bCs/>
      <w:sz w:val="20"/>
      <w:szCs w:val="20"/>
      <w:lang w:eastAsia="ru-RU"/>
    </w:rPr>
  </w:style>
  <w:style w:type="character" w:styleId="789">
    <w:name w:val="Hyperlink"/>
    <w:uiPriority w:val="99"/>
    <w:pPr>
      <w:pBdr/>
      <w:spacing/>
      <w:ind/>
    </w:pPr>
    <w:rPr>
      <w:color w:val="0000ff"/>
      <w:u w:val="single"/>
    </w:rPr>
  </w:style>
  <w:style w:type="character" w:styleId="790" w:customStyle="1">
    <w:name w:val="Основной текст + Полужирный;Интервал 0 pt"/>
    <w:basedOn w:val="764"/>
    <w:pPr>
      <w:pBdr/>
      <w:spacing/>
      <w:ind/>
    </w:pPr>
    <w:rPr>
      <w:rFonts w:ascii="Times New Roman" w:hAnsi="Times New Roman" w:eastAsia="Times New Roman" w:cs="Times New Roman"/>
      <w:b/>
      <w:bCs/>
      <w:i w:val="0"/>
      <w:iCs w:val="0"/>
      <w:smallCaps w:val="0"/>
      <w:strike w:val="0"/>
      <w:color w:val="000000"/>
      <w:spacing w:val="-7"/>
      <w:position w:val="0"/>
      <w:sz w:val="25"/>
      <w:szCs w:val="25"/>
      <w:u w:val="none"/>
      <w:lang w:val="ru-RU"/>
    </w:rPr>
  </w:style>
  <w:style w:type="paragraph" w:styleId="791">
    <w:name w:val="Body Text"/>
    <w:basedOn w:val="762"/>
    <w:link w:val="792"/>
    <w:uiPriority w:val="99"/>
    <w:pPr>
      <w:pBdr/>
      <w:spacing/>
      <w:ind/>
    </w:pPr>
    <w:rPr>
      <w:b/>
      <w:bCs/>
      <w:sz w:val="24"/>
      <w:szCs w:val="24"/>
    </w:rPr>
  </w:style>
  <w:style w:type="character" w:styleId="792" w:customStyle="1">
    <w:name w:val="Основной текст Знак"/>
    <w:basedOn w:val="764"/>
    <w:link w:val="791"/>
    <w:uiPriority w:val="99"/>
    <w:pPr>
      <w:pBdr/>
      <w:spacing/>
      <w:ind/>
    </w:pPr>
    <w:rPr>
      <w:rFonts w:ascii="Times New Roman" w:hAnsi="Times New Roman" w:eastAsia="Calibri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00C049-65B7-40CD-9450-EFDF198C21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>Hewlett-Packard Company</Company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Новикова Анна Леонидовна</dc:creator>
  <cp:revision>7</cp:revision>
  <dcterms:created xsi:type="dcterms:W3CDTF">2023-12-07T13:21:00Z</dcterms:created>
  <dcterms:modified xsi:type="dcterms:W3CDTF">2025-01-16T15:13:57Z</dcterms:modified>
</cp:coreProperties>
</file>