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693" w:rsidRPr="00214E15" w:rsidRDefault="00DA6693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DA6693" w:rsidRDefault="00DA6693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A6693" w:rsidRPr="00214E15" w:rsidTr="00AE4BF0">
        <w:trPr>
          <w:trHeight w:val="2625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DA6693" w:rsidRPr="00A62D54" w:rsidRDefault="00DA6693" w:rsidP="00907CAD">
            <w:pPr>
              <w:pStyle w:val="TableParagraph"/>
              <w:spacing w:before="3" w:after="26"/>
              <w:ind w:left="164" w:right="259"/>
              <w:jc w:val="both"/>
              <w:rPr>
                <w:sz w:val="26"/>
                <w:szCs w:val="26"/>
              </w:rPr>
            </w:pPr>
            <w:bookmarkStart w:id="0" w:name="_GoBack"/>
            <w:r w:rsidRPr="00E6015C"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6"/>
                <w:szCs w:val="26"/>
              </w:rPr>
              <w:t>«</w:t>
            </w:r>
            <w:r w:rsidR="0046752D" w:rsidRPr="0046752D">
              <w:rPr>
                <w:bCs/>
                <w:sz w:val="26"/>
                <w:szCs w:val="26"/>
              </w:rPr>
              <w:t>О внесении изменений в постановление администрации муниципального района «Ивнянский район» от 28 ноября 2019 года № 382</w:t>
            </w:r>
            <w:r w:rsidR="00907CAD" w:rsidRPr="0046752D">
              <w:rPr>
                <w:bCs/>
                <w:sz w:val="26"/>
                <w:szCs w:val="26"/>
              </w:rPr>
              <w:t>»</w:t>
            </w:r>
            <w:r w:rsidRPr="00A62D54">
              <w:rPr>
                <w:bCs/>
                <w:sz w:val="26"/>
                <w:szCs w:val="26"/>
              </w:rPr>
              <w:t xml:space="preserve">   </w:t>
            </w:r>
          </w:p>
          <w:bookmarkEnd w:id="0"/>
          <w:p w:rsidR="00DA6693" w:rsidRPr="00214E15" w:rsidRDefault="0046752D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DA6693" w:rsidRPr="00214E15" w:rsidRDefault="00DA6693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A6693" w:rsidRPr="00214E15" w:rsidTr="00AE4BF0">
        <w:trPr>
          <w:trHeight w:val="642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DA6693" w:rsidRPr="00214E15" w:rsidRDefault="00DA6693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DA6693" w:rsidRPr="00214E15" w:rsidTr="00AE4BF0">
        <w:trPr>
          <w:trHeight w:val="953"/>
        </w:trPr>
        <w:tc>
          <w:tcPr>
            <w:tcW w:w="9573" w:type="dxa"/>
          </w:tcPr>
          <w:p w:rsidR="00DA6693" w:rsidRPr="00214E15" w:rsidRDefault="00DA6693" w:rsidP="00A62D54">
            <w:pPr>
              <w:tabs>
                <w:tab w:val="left" w:pos="720"/>
              </w:tabs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</w:t>
            </w:r>
            <w:r w:rsidR="0046752D">
              <w:rPr>
                <w:sz w:val="26"/>
                <w:szCs w:val="26"/>
              </w:rPr>
              <w:t>в</w:t>
            </w:r>
            <w:r w:rsidR="0046752D" w:rsidRPr="00FE29EC">
              <w:rPr>
                <w:sz w:val="26"/>
                <w:szCs w:val="26"/>
              </w:rPr>
              <w:t xml:space="preserve"> соответствии с пунктом 3 статьи 7 Федерального</w:t>
            </w:r>
            <w:r w:rsidR="0046752D">
              <w:rPr>
                <w:sz w:val="26"/>
                <w:szCs w:val="26"/>
              </w:rPr>
              <w:t xml:space="preserve"> </w:t>
            </w:r>
            <w:r w:rsidR="0046752D" w:rsidRPr="00FE29EC">
              <w:rPr>
                <w:sz w:val="26"/>
                <w:szCs w:val="26"/>
              </w:rPr>
              <w:t xml:space="preserve">закона от 6 декабря 2011 года № </w:t>
            </w:r>
            <w:r w:rsidR="0046752D" w:rsidRPr="00FE29EC">
              <w:rPr>
                <w:rStyle w:val="a8"/>
                <w:sz w:val="26"/>
                <w:szCs w:val="26"/>
              </w:rPr>
              <w:t xml:space="preserve">402-ФЗ </w:t>
            </w:r>
            <w:r w:rsidR="0046752D" w:rsidRPr="00FE29EC">
              <w:rPr>
                <w:sz w:val="26"/>
                <w:szCs w:val="26"/>
              </w:rPr>
              <w:t>«О бухгалтерском учете», в целях приведения нормативных правовых актов Ивнянского района в соответствие с действующим законодательством Российской Федерации</w:t>
            </w:r>
          </w:p>
        </w:tc>
      </w:tr>
      <w:tr w:rsidR="00DA6693" w:rsidRPr="00214E15" w:rsidTr="00AE4BF0">
        <w:trPr>
          <w:trHeight w:val="128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DA6693" w:rsidRPr="00214E15" w:rsidRDefault="00DA6693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DA6693" w:rsidRPr="00214E15" w:rsidTr="00AE4BF0">
        <w:trPr>
          <w:trHeight w:val="407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DA6693" w:rsidRPr="00214E15" w:rsidTr="00AE4BF0">
        <w:trPr>
          <w:trHeight w:val="1610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3. Информация о положениях проекта нормативного правового </w:t>
            </w:r>
            <w:proofErr w:type="gramStart"/>
            <w:r w:rsidRPr="00214E15">
              <w:rPr>
                <w:sz w:val="26"/>
                <w:szCs w:val="26"/>
              </w:rPr>
              <w:t>акта,  которые</w:t>
            </w:r>
            <w:proofErr w:type="gramEnd"/>
            <w:r w:rsidRPr="00214E15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DA6693" w:rsidRPr="00214E15" w:rsidRDefault="00DA6693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DA6693" w:rsidRPr="00214E15" w:rsidTr="00AE4BF0">
        <w:trPr>
          <w:trHeight w:val="56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DA6693" w:rsidRPr="00214E15" w:rsidRDefault="00DA6693">
      <w:pPr>
        <w:rPr>
          <w:sz w:val="26"/>
          <w:szCs w:val="26"/>
        </w:rPr>
      </w:pPr>
    </w:p>
    <w:sectPr w:rsidR="00DA6693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11D61"/>
    <w:rsid w:val="001B4897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6752D"/>
    <w:rsid w:val="004808CC"/>
    <w:rsid w:val="005C2EC6"/>
    <w:rsid w:val="0068572A"/>
    <w:rsid w:val="006F56DA"/>
    <w:rsid w:val="008111EC"/>
    <w:rsid w:val="00873878"/>
    <w:rsid w:val="008B71F8"/>
    <w:rsid w:val="00907CAD"/>
    <w:rsid w:val="00921FDA"/>
    <w:rsid w:val="009A1102"/>
    <w:rsid w:val="00A61220"/>
    <w:rsid w:val="00A62D54"/>
    <w:rsid w:val="00A752FF"/>
    <w:rsid w:val="00A75AA3"/>
    <w:rsid w:val="00A9596B"/>
    <w:rsid w:val="00AE0663"/>
    <w:rsid w:val="00AE4BF0"/>
    <w:rsid w:val="00B55330"/>
    <w:rsid w:val="00B97537"/>
    <w:rsid w:val="00BB580B"/>
    <w:rsid w:val="00C30B5F"/>
    <w:rsid w:val="00C57508"/>
    <w:rsid w:val="00C85F22"/>
    <w:rsid w:val="00C93B19"/>
    <w:rsid w:val="00CB5093"/>
    <w:rsid w:val="00CE0BC6"/>
    <w:rsid w:val="00CE5D7C"/>
    <w:rsid w:val="00CF0CE0"/>
    <w:rsid w:val="00D152F7"/>
    <w:rsid w:val="00D94269"/>
    <w:rsid w:val="00DA6693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BE1AE05"/>
  <w15:docId w15:val="{984F3092-1078-473B-9DF9-AE70E015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  <w:style w:type="character" w:customStyle="1" w:styleId="a9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7</cp:revision>
  <cp:lastPrinted>2021-08-02T10:22:00Z</cp:lastPrinted>
  <dcterms:created xsi:type="dcterms:W3CDTF">2024-08-13T06:04:00Z</dcterms:created>
  <dcterms:modified xsi:type="dcterms:W3CDTF">2024-09-18T14:19:00Z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