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621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pStyle w:val="617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eastAsia="Times New Roman"/>
              </w:rPr>
              <w:t xml:space="preserve">едложений организаций и граждан </w:t>
            </w:r>
            <w:r>
              <w:rPr>
                <w:rFonts w:eastAsia="Times New Roman"/>
              </w:rPr>
              <w:t xml:space="preserve">по </w:t>
            </w:r>
            <w:r>
              <w:rPr>
                <w:rFonts w:eastAsia="Times New Roman"/>
              </w:rPr>
              <w:t xml:space="preserve">проекту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7"/>
                <w:szCs w:val="22"/>
                <w:lang w:eastAsia="en-US"/>
              </w:rPr>
              <w:t xml:space="preserve"> п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eastAsia="en-US"/>
              </w:rPr>
              <w:t xml:space="preserve">остановления администрации муниципального района «Ивнянский район»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Об утверждении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корректировки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нвестиционной программы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ГУП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«Бел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обл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водоканал»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по строительству, реконструкции, модернизации и развитию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систем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водоснабжения, водоотведен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ия и очистки сточных вод на 2024-2028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годы»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  <w:p>
            <w:pPr>
              <w:ind w:right="259"/>
              <w:jc w:val="center"/>
              <w:spacing w:before="3" w:after="26"/>
              <w:rPr>
                <w:rFonts w:eastAsia="Times New Roman"/>
              </w:rP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/>
          </w:p>
          <w:p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05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03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18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bookmarkStart w:id="1" w:name="_GoBack"/>
            <w:r/>
            <w:bookmarkEnd w:id="1"/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623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 w:customStyle="1">
    <w:name w:val="Сетка таблицы1"/>
    <w:basedOn w:val="619"/>
    <w:next w:val="622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22">
    <w:name w:val="Table Grid"/>
    <w:basedOn w:val="6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23">
    <w:name w:val="Hyperlink"/>
    <w:basedOn w:val="618"/>
    <w:uiPriority w:val="99"/>
    <w:unhideWhenUsed/>
    <w:rPr>
      <w:color w:val="0000ff"/>
      <w:u w:val="single"/>
    </w:rPr>
  </w:style>
  <w:style w:type="paragraph" w:styleId="624">
    <w:name w:val="List Paragraph"/>
    <w:basedOn w:val="617"/>
    <w:uiPriority w:val="34"/>
    <w:qFormat/>
    <w:pPr>
      <w:contextualSpacing/>
      <w:ind w:left="720"/>
    </w:pPr>
  </w:style>
  <w:style w:type="character" w:styleId="625">
    <w:name w:val="FollowedHyperlink"/>
    <w:basedOn w:val="618"/>
    <w:uiPriority w:val="99"/>
    <w:semiHidden/>
    <w:unhideWhenUsed/>
    <w:rPr>
      <w:color w:val="954f72" w:themeColor="followedHyperlink"/>
      <w:u w:val="single"/>
    </w:rPr>
  </w:style>
  <w:style w:type="character" w:styleId="626">
    <w:name w:val="Unresolved Mention"/>
    <w:basedOn w:val="618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103</cp:revision>
  <dcterms:created xsi:type="dcterms:W3CDTF">2021-04-09T06:48:00Z</dcterms:created>
  <dcterms:modified xsi:type="dcterms:W3CDTF">2025-03-04T05:39:37Z</dcterms:modified>
</cp:coreProperties>
</file>