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2264"/>
        </w:trPr>
        <w:tc>
          <w:tcPr>
            <w:tcW w:w="9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Ивнянского района»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образования» Ивнянского района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в Федеральным законом от 27 июля 2010 года № 210 – 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22" w:firstLine="3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 окажет, если окажет, кажите какое влияние и на какие товарные рынки):</w:t>
            </w:r>
          </w:p>
        </w:tc>
      </w:tr>
      <w:tr>
        <w:tc>
          <w:tcPr>
            <w:tcW w:w="962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окажет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положениях проекта нормативного правового акта, которые могут привести к недопущению, ограничению или устранению кон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1164</Characters>
  <CharactersWithSpaces>1366</CharactersWithSpaces>
  <Company/>
  <DocSecurity>0</DocSecurity>
  <HyperlinksChanged>false</HyperlinksChanged>
  <Lines>9</Lines>
  <LinksUpToDate>false</LinksUpToDate>
  <Pages>1</Pages>
  <Paragraphs>2</Paragraphs>
  <ScaleCrop>false</ScaleCrop>
  <SharedDoc>false</SharedDoc>
  <Template>Normal.dotm</Template>
  <TotalTime>17</TotalTime>
  <Words>204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user</cp:lastModifiedBy>
  <cp:revision>3</cp:revision>
  <dcterms:created xsi:type="dcterms:W3CDTF">2023-09-25T12:33:00Z</dcterms:created>
  <dcterms:modified xsi:type="dcterms:W3CDTF">2023-11-22T07:21:00Z</dcterms:modified>
</cp:coreProperties>
</file>