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8"/>
        <w:ind w:left="562" w:right="568"/>
        <w:jc w:val="center"/>
        <w:spacing w:before="72"/>
        <w:rPr>
          <w:sz w:val="26"/>
          <w:szCs w:val="26"/>
        </w:rPr>
      </w:pPr>
      <w:r>
        <w:rPr>
          <w:sz w:val="26"/>
          <w:szCs w:val="26"/>
        </w:rPr>
        <w:t xml:space="preserve">Обоснование</w:t>
      </w:r>
      <w:r>
        <w:rPr>
          <w:sz w:val="26"/>
          <w:szCs w:val="26"/>
        </w:rPr>
      </w:r>
    </w:p>
    <w:p>
      <w:pPr>
        <w:pStyle w:val="628"/>
        <w:ind w:left="562" w:right="572"/>
        <w:jc w:val="center"/>
        <w:spacing w:before="2"/>
        <w:rPr>
          <w:sz w:val="26"/>
          <w:szCs w:val="26"/>
        </w:rPr>
      </w:pPr>
      <w:r>
        <w:rPr>
          <w:sz w:val="26"/>
          <w:szCs w:val="26"/>
        </w:rPr>
        <w:t xml:space="preserve"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  <w:sz w:val="26"/>
          <w:szCs w:val="26"/>
        </w:rPr>
        <w:t xml:space="preserve"> </w:t>
      </w:r>
      <w:r>
        <w:rPr>
          <w:sz w:val="26"/>
          <w:szCs w:val="26"/>
        </w:rPr>
        <w:t xml:space="preserve">на конкуренцию</w:t>
      </w:r>
      <w:r>
        <w:rPr>
          <w:sz w:val="26"/>
          <w:szCs w:val="26"/>
        </w:rPr>
      </w:r>
    </w:p>
    <w:p>
      <w:pPr>
        <w:spacing w:before="9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tbl>
      <w:tblPr>
        <w:tblStyle w:val="627"/>
        <w:tblW w:w="0" w:type="auto"/>
        <w:tblInd w:w="1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>
        <w:tblPrEx/>
        <w:trPr>
          <w:trHeight w:val="1685"/>
        </w:trPr>
        <w:tc>
          <w:tcPr>
            <w:tcW w:w="957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</w:rPr>
              <w:t xml:space="preserve">Проект </w:t>
            </w:r>
            <w:r>
              <w:rPr>
                <w:sz w:val="26"/>
                <w:szCs w:val="26"/>
              </w:rPr>
              <w:t xml:space="preserve">постановления администрации муниципального района «Ивнянский район» </w:t>
            </w:r>
            <w:r>
              <w:rPr>
                <w:b w:val="0"/>
                <w:bCs w:val="0"/>
                <w:sz w:val="26"/>
                <w:szCs w:val="26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Об утверждении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дминистратив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ного регламента по предо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ставлению муниципальной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услуги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 «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Утверждение схемы расположения земельного участка или земельных участков 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кадастровом плане территории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r>
          </w:p>
          <w:p>
            <w:pPr>
              <w:pStyle w:val="630"/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/>
          </w:p>
          <w:p>
            <w:pPr>
              <w:pStyle w:val="630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978525" cy="18415"/>
                      <wp:effectExtent l="0" t="0" r="3175" b="635"/>
                      <wp:docPr id="1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0" name="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0" o:spid="_x0000_s0000" style="width:470.75pt;height:1.45pt;mso-wrap-distance-left:0.00pt;mso-wrap-distance-top:0.00pt;mso-wrap-distance-right:0.00pt;mso-wrap-distance-bottom:0.00pt;" coordorigin="0,0" coordsize="94,0">
                      <v:shape id="shape 1" o:spid="_x0000_s1" o:spt="1" type="#_x0000_t1" style="position:absolute;left:0;top:0;width:94;height:0;visibility:visible;" fillcolor="#000000" stroked="f"/>
                    </v:group>
                  </w:pict>
                </mc:Fallback>
              </mc:AlternateContent>
            </w:r>
            <w:r>
              <w:rPr>
                <w:sz w:val="26"/>
                <w:szCs w:val="26"/>
              </w:rPr>
            </w:r>
          </w:p>
          <w:p>
            <w:pPr>
              <w:pStyle w:val="630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Отдел </w:t>
            </w:r>
            <w:r>
              <w:rPr>
                <w:sz w:val="26"/>
                <w:szCs w:val="26"/>
              </w:rPr>
              <w:t xml:space="preserve">по управлению муниципальным имуществом и земельными ресурсами </w:t>
            </w:r>
            <w:r>
              <w:rPr>
                <w:sz w:val="26"/>
                <w:szCs w:val="26"/>
              </w:rPr>
              <w:t xml:space="preserve">администрации Ивнянского района</w:t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642"/>
        </w:trPr>
        <w:tc>
          <w:tcPr>
            <w:tcW w:w="9573" w:type="dxa"/>
            <w:textDirection w:val="lrTb"/>
            <w:noWrap w:val="false"/>
          </w:tcPr>
          <w:p>
            <w:pPr>
              <w:pStyle w:val="630"/>
              <w:ind w:left="0"/>
              <w:tabs>
                <w:tab w:val="left" w:pos="5662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</w:t>
            </w:r>
            <w:r>
              <w:rPr>
                <w:sz w:val="26"/>
                <w:szCs w:val="26"/>
              </w:rPr>
              <w:t xml:space="preserve">Обоснование </w:t>
            </w:r>
            <w:r>
              <w:rPr>
                <w:spacing w:val="38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необходимости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pacing w:val="55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принятия</w:t>
            </w:r>
            <w:r>
              <w:rPr>
                <w:sz w:val="26"/>
                <w:szCs w:val="26"/>
              </w:rPr>
              <w:tab/>
              <w:t xml:space="preserve">нормативного правового</w:t>
            </w:r>
            <w:r>
              <w:rPr>
                <w:spacing w:val="4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акта</w:t>
            </w:r>
            <w:r>
              <w:rPr>
                <w:sz w:val="26"/>
                <w:szCs w:val="26"/>
              </w:rPr>
            </w:r>
          </w:p>
          <w:p>
            <w:pPr>
              <w:pStyle w:val="630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(основания, концепция, цели, задачи, последствия принятия):</w:t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1903"/>
        </w:trPr>
        <w:tc>
          <w:tcPr>
            <w:tcW w:w="9573" w:type="dxa"/>
            <w:textDirection w:val="lrTb"/>
            <w:noWrap w:val="false"/>
          </w:tcPr>
          <w:p>
            <w:pPr>
              <w:pStyle w:val="632"/>
              <w:ind w:right="17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Настоящий проект постановления разработан в</w:t>
            </w:r>
            <w:bookmarkStart w:id="0" w:name="_GoBack"/>
            <w:r/>
            <w:bookmarkEnd w:id="0"/>
            <w:r>
              <w:rPr>
                <w:rFonts w:eastAsia="Times New Roman"/>
                <w:color w:val="auto"/>
                <w:sz w:val="26"/>
                <w:szCs w:val="26"/>
                <w:lang w:eastAsia="ru-RU"/>
              </w:rPr>
              <w:t xml:space="preserve"> соответствии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с Федеральными законами от 27 июля 2010 года №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210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ФЗ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«Об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организации предоставления государственных и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муниципальных услуг», от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октября 2003 года № 131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ФЗ «Об общих принципах организации местного самоуправления в Российской Федерации»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остановление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м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 Правительства Р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оссийской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Ф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едерации от 20 июля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2021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 года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1228 «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Об утверждении Правил разработки и утверждения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Административ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вительства Российской Федерации»</w:t>
            </w:r>
            <w:r/>
            <w:r>
              <w:rPr>
                <w:rFonts w:eastAsia="Times New Roman"/>
                <w:color w:val="auto"/>
                <w:sz w:val="26"/>
                <w:szCs w:val="26"/>
                <w:lang w:eastAsia="ru-RU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1288"/>
        </w:trPr>
        <w:tc>
          <w:tcPr>
            <w:tcW w:w="9573" w:type="dxa"/>
            <w:textDirection w:val="lrTb"/>
            <w:noWrap w:val="false"/>
          </w:tcPr>
          <w:p>
            <w:pPr>
              <w:pStyle w:val="63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</w:t>
            </w:r>
            <w:r>
              <w:rPr>
                <w:sz w:val="26"/>
                <w:szCs w:val="26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(окажет/не окажет,</w:t>
            </w:r>
            <w:r>
              <w:rPr>
                <w:spacing w:val="51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если окажет,</w:t>
            </w:r>
            <w:r>
              <w:rPr>
                <w:sz w:val="26"/>
                <w:szCs w:val="26"/>
              </w:rPr>
            </w:r>
          </w:p>
          <w:p>
            <w:pPr>
              <w:pStyle w:val="63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укажите какое влияние и на какие товарные рынки):</w:t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813"/>
        </w:trPr>
        <w:tc>
          <w:tcPr>
            <w:tcW w:w="9573" w:type="dxa"/>
            <w:textDirection w:val="lrTb"/>
            <w:noWrap w:val="false"/>
          </w:tcPr>
          <w:p>
            <w:pPr>
              <w:pStyle w:val="630"/>
              <w:ind w:left="0"/>
              <w:jc w:val="both"/>
              <w:tabs>
                <w:tab w:val="left" w:pos="535" w:leader="none"/>
              </w:tabs>
              <w:rPr>
                <w:i/>
                <w:sz w:val="26"/>
                <w:szCs w:val="26"/>
              </w:rPr>
            </w:pPr>
            <w:r>
              <w:rPr>
                <w:rStyle w:val="631"/>
                <w:i/>
                <w:sz w:val="26"/>
                <w:szCs w:val="26"/>
              </w:rPr>
              <w:t xml:space="preserve">Не окажет</w:t>
            </w:r>
            <w:r>
              <w:rPr>
                <w:i/>
                <w:sz w:val="26"/>
                <w:szCs w:val="26"/>
              </w:rPr>
            </w:r>
          </w:p>
        </w:tc>
      </w:tr>
      <w:tr>
        <w:tblPrEx/>
        <w:trPr>
          <w:trHeight w:val="813"/>
        </w:trPr>
        <w:tc>
          <w:tcPr>
            <w:tcW w:w="9573" w:type="dxa"/>
            <w:textDirection w:val="lrTb"/>
            <w:noWrap w:val="false"/>
          </w:tcPr>
          <w:p>
            <w:pPr>
              <w:pStyle w:val="630"/>
              <w:ind w:left="0"/>
              <w:jc w:val="both"/>
              <w:tabs>
                <w:tab w:val="left" w:pos="3033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3.Информация о положениях проекта нормативного правового </w:t>
            </w:r>
            <w:r>
              <w:rPr>
                <w:sz w:val="26"/>
                <w:szCs w:val="26"/>
              </w:rPr>
              <w:t xml:space="preserve">акта,  которые</w:t>
            </w:r>
            <w:r>
              <w:rPr>
                <w:sz w:val="26"/>
                <w:szCs w:val="26"/>
              </w:rPr>
              <w:t xml:space="preserve"> могут привести к недопущению, ограничению или устранению конкуренции на 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присутствуют,</w:t>
            </w:r>
            <w:r>
              <w:rPr>
                <w:sz w:val="26"/>
                <w:szCs w:val="26"/>
              </w:rPr>
            </w:r>
          </w:p>
          <w:p>
            <w:pPr>
              <w:pStyle w:val="630"/>
              <w:ind w:left="0"/>
              <w:jc w:val="both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отразите короткое обоснование их наличия):</w:t>
            </w:r>
            <w:r>
              <w:rPr>
                <w:i/>
                <w:sz w:val="26"/>
                <w:szCs w:val="26"/>
              </w:rPr>
            </w:r>
          </w:p>
        </w:tc>
      </w:tr>
      <w:tr>
        <w:tblPrEx/>
        <w:trPr>
          <w:trHeight w:val="483"/>
        </w:trPr>
        <w:tc>
          <w:tcPr>
            <w:tcW w:w="9573" w:type="dxa"/>
            <w:textDirection w:val="lrTb"/>
            <w:noWrap w:val="false"/>
          </w:tcPr>
          <w:p>
            <w:pPr>
              <w:pStyle w:val="630"/>
              <w:ind w:left="0"/>
              <w:jc w:val="both"/>
              <w:tabs>
                <w:tab w:val="left" w:pos="3033" w:leader="none"/>
              </w:tabs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Отсутствуют</w:t>
            </w:r>
            <w:r>
              <w:rPr>
                <w:sz w:val="26"/>
                <w:szCs w:val="26"/>
              </w:rPr>
            </w:r>
          </w:p>
        </w:tc>
      </w:tr>
    </w:tbl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sectPr>
      <w:footnotePr/>
      <w:endnotePr/>
      <w:type w:val="nextPage"/>
      <w:pgSz w:w="11910" w:h="16840" w:orient="portrait"/>
      <w:pgMar w:top="1120" w:right="620" w:bottom="280" w:left="148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534" w:hanging="428"/>
      </w:pPr>
      <w:rPr>
        <w:rFonts w:hint="default" w:ascii="Times New Roman" w:hAnsi="Times New Roman" w:eastAsia="Times New Roman" w:cs="Times New Roman"/>
        <w:spacing w:val="-8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7" w:hanging="152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34" w:hanging="428"/>
      </w:pPr>
      <w:rPr>
        <w:rFonts w:hint="default" w:ascii="Times New Roman" w:hAnsi="Times New Roman" w:eastAsia="Times New Roman" w:cs="Times New Roman"/>
        <w:spacing w:val="-8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3"/>
    <w:next w:val="62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3"/>
    <w:next w:val="62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3"/>
    <w:next w:val="62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3"/>
    <w:next w:val="62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3"/>
    <w:next w:val="62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3"/>
    <w:next w:val="62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3"/>
    <w:next w:val="62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3"/>
    <w:next w:val="62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3"/>
    <w:next w:val="62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3"/>
    <w:next w:val="62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4"/>
    <w:link w:val="34"/>
    <w:uiPriority w:val="10"/>
    <w:rPr>
      <w:sz w:val="48"/>
      <w:szCs w:val="48"/>
    </w:rPr>
  </w:style>
  <w:style w:type="paragraph" w:styleId="36">
    <w:name w:val="Subtitle"/>
    <w:basedOn w:val="623"/>
    <w:next w:val="62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4"/>
    <w:link w:val="36"/>
    <w:uiPriority w:val="11"/>
    <w:rPr>
      <w:sz w:val="24"/>
      <w:szCs w:val="24"/>
    </w:rPr>
  </w:style>
  <w:style w:type="paragraph" w:styleId="38">
    <w:name w:val="Quote"/>
    <w:basedOn w:val="623"/>
    <w:next w:val="62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3"/>
    <w:next w:val="62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4"/>
    <w:link w:val="42"/>
    <w:uiPriority w:val="99"/>
  </w:style>
  <w:style w:type="paragraph" w:styleId="44">
    <w:name w:val="Footer"/>
    <w:basedOn w:val="623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4"/>
    <w:link w:val="44"/>
    <w:uiPriority w:val="99"/>
  </w:style>
  <w:style w:type="paragraph" w:styleId="46">
    <w:name w:val="Caption"/>
    <w:basedOn w:val="623"/>
    <w:next w:val="623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24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2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4"/>
    <w:uiPriority w:val="99"/>
    <w:unhideWhenUsed/>
    <w:rPr>
      <w:vertAlign w:val="superscript"/>
    </w:rPr>
  </w:style>
  <w:style w:type="paragraph" w:styleId="178">
    <w:name w:val="endnote text"/>
    <w:basedOn w:val="62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4"/>
    <w:uiPriority w:val="99"/>
    <w:semiHidden/>
    <w:unhideWhenUsed/>
    <w:rPr>
      <w:vertAlign w:val="superscript"/>
    </w:rPr>
  </w:style>
  <w:style w:type="paragraph" w:styleId="181">
    <w:name w:val="toc 1"/>
    <w:basedOn w:val="623"/>
    <w:next w:val="62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3"/>
    <w:next w:val="62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3"/>
    <w:next w:val="62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3"/>
    <w:next w:val="62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3"/>
    <w:next w:val="62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3"/>
    <w:next w:val="62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3"/>
    <w:next w:val="62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3"/>
    <w:next w:val="62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3"/>
    <w:next w:val="62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3"/>
    <w:next w:val="623"/>
    <w:uiPriority w:val="99"/>
    <w:unhideWhenUsed/>
    <w:pPr>
      <w:spacing w:after="0" w:afterAutospacing="0"/>
    </w:pPr>
  </w:style>
  <w:style w:type="paragraph" w:styleId="623" w:default="1">
    <w:name w:val="Normal"/>
    <w:uiPriority w:val="1"/>
    <w:qFormat/>
    <w:rPr>
      <w:rFonts w:ascii="Times New Roman" w:hAnsi="Times New Roman" w:eastAsia="Times New Roman" w:cs="Times New Roman"/>
      <w:lang w:val="ru-RU"/>
    </w:rPr>
  </w:style>
  <w:style w:type="character" w:styleId="624" w:default="1">
    <w:name w:val="Default Paragraph Font"/>
    <w:uiPriority w:val="1"/>
    <w:semiHidden/>
    <w:unhideWhenUsed/>
  </w:style>
  <w:style w:type="table" w:styleId="62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6" w:default="1">
    <w:name w:val="No List"/>
    <w:uiPriority w:val="99"/>
    <w:semiHidden/>
    <w:unhideWhenUsed/>
  </w:style>
  <w:style w:type="table" w:styleId="627" w:customStyle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628">
    <w:name w:val="Body Text"/>
    <w:basedOn w:val="623"/>
    <w:uiPriority w:val="1"/>
    <w:qFormat/>
    <w:rPr>
      <w:b/>
      <w:bCs/>
      <w:sz w:val="28"/>
      <w:szCs w:val="28"/>
    </w:rPr>
  </w:style>
  <w:style w:type="paragraph" w:styleId="629">
    <w:name w:val="List Paragraph"/>
    <w:basedOn w:val="623"/>
    <w:uiPriority w:val="1"/>
    <w:qFormat/>
  </w:style>
  <w:style w:type="paragraph" w:styleId="630" w:customStyle="1">
    <w:name w:val="Table Paragraph"/>
    <w:basedOn w:val="623"/>
    <w:uiPriority w:val="1"/>
    <w:qFormat/>
    <w:pPr>
      <w:ind w:left="534"/>
    </w:pPr>
  </w:style>
  <w:style w:type="character" w:styleId="631" w:customStyle="1">
    <w:name w:val="markedcontent"/>
    <w:basedOn w:val="624"/>
  </w:style>
  <w:style w:type="paragraph" w:styleId="632" w:customStyle="1">
    <w:name w:val="Default"/>
    <w:pPr>
      <w:widowControl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B76C6-A53B-4C26-96EA-2E9125E60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user</cp:lastModifiedBy>
  <cp:revision>21</cp:revision>
  <dcterms:created xsi:type="dcterms:W3CDTF">2022-05-16T06:15:00Z</dcterms:created>
  <dcterms:modified xsi:type="dcterms:W3CDTF">2025-03-10T12:21:10Z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