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21"/>
        <w:spacing w:before="72" w:after="0"/>
        <w:ind w:left="562" w:right="568" w:hanging="0"/>
        <w:jc w:val="center"/>
        <w:rPr/>
      </w:pPr>
      <w:r>
        <w:rPr/>
        <w:t>Обоснование</w:t>
      </w:r>
    </w:p>
    <w:p>
      <w:pPr>
        <w:pStyle w:val="Style21"/>
        <w:spacing w:before="2" w:after="0"/>
        <w:ind w:left="562" w:right="572" w:hanging="0"/>
        <w:jc w:val="center"/>
        <w:rPr/>
      </w:pPr>
      <w:r>
        <w:rPr/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/>
        <w:t>на конкуренцию</w:t>
      </w:r>
    </w:p>
    <w:p>
      <w:pPr>
        <w:pStyle w:val="Normal"/>
        <w:rPr>
          <w:b/>
          <w:sz w:val="20"/>
        </w:rPr>
      </w:pPr>
      <w:r>
        <w:rPr>
          <w:b/>
          <w:sz w:val="20"/>
        </w:rPr>
      </w:r>
    </w:p>
    <w:p>
      <w:pPr>
        <w:pStyle w:val="Normal"/>
        <w:spacing w:before="9" w:after="0"/>
        <w:rPr>
          <w:b/>
          <w:sz w:val="29"/>
        </w:rPr>
      </w:pPr>
      <w:r>
        <w:rPr>
          <w:b/>
          <w:sz w:val="29"/>
        </w:rPr>
      </w:r>
    </w:p>
    <w:tbl>
      <w:tblPr>
        <w:tblStyle w:val="TableNormal"/>
        <w:tblW w:w="9573" w:type="dxa"/>
        <w:jc w:val="left"/>
        <w:tblInd w:w="11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noVBand="0" w:val="01e0" w:noHBand="0" w:lastColumn="1" w:firstColumn="1" w:lastRow="1" w:firstRow="1"/>
      </w:tblPr>
      <w:tblGrid>
        <w:gridCol w:w="9573"/>
      </w:tblGrid>
      <w:tr>
        <w:trPr>
          <w:trHeight w:val="2625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3" w:after="0"/>
              <w:ind w:left="0" w:right="0" w:hanging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TableParagraph"/>
              <w:widowControl w:val="false"/>
              <w:suppressAutoHyphens w:val="true"/>
              <w:spacing w:before="3" w:after="26"/>
              <w:ind w:left="271" w:right="259" w:hanging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b/>
                <w:bCs/>
                <w:kern w:val="0"/>
                <w:sz w:val="28"/>
                <w:szCs w:val="28"/>
                <w:lang w:eastAsia="en-US" w:bidi="ar-SA"/>
              </w:rPr>
              <w:t>«</w:t>
            </w:r>
            <w:r>
              <w:rPr>
                <w:rFonts w:cs="Times New Roman" w:ascii="Times New Roman" w:hAnsi="Times New Roman"/>
                <w:b/>
                <w:bCs/>
                <w:kern w:val="0"/>
                <w:sz w:val="28"/>
                <w:szCs w:val="28"/>
                <w:lang w:eastAsia="en-US" w:bidi="ar-SA"/>
              </w:rPr>
              <w:t>Об утверждении Методических рекомендаций по мониторингу муниципальных  программ Ивнянского района Белгородской области</w:t>
            </w:r>
            <w:r>
              <w:rPr>
                <w:rFonts w:cs="Times New Roman"/>
                <w:b/>
                <w:bCs/>
                <w:kern w:val="0"/>
                <w:sz w:val="28"/>
                <w:szCs w:val="28"/>
                <w:lang w:eastAsia="en-US" w:bidi="ar-SA"/>
              </w:rPr>
              <w:t>»</w:t>
            </w:r>
          </w:p>
          <w:p>
            <w:pPr>
              <w:pStyle w:val="TableParagraph"/>
              <w:widowControl w:val="false"/>
              <w:suppressAutoHyphens w:val="true"/>
              <w:spacing w:lineRule="exact" w:line="28" w:before="0" w:after="0"/>
              <w:ind w:left="79" w:right="0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inline distT="0" distB="0" distL="0" distR="0" wp14:anchorId="7BF6F421">
                      <wp:extent cx="5978525" cy="18415"/>
                      <wp:effectExtent l="0" t="0" r="3175" b="635"/>
                      <wp:docPr id="1" name="Group 2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978520" cy="18360"/>
                                <a:chOff x="0" y="0"/>
                                <a:chExt cx="5978520" cy="18360"/>
                              </a:xfrm>
                            </wpg:grpSpPr>
                            <wps:wsp>
                              <wps:cNvPr id="2" name="Rectangle 3"/>
                              <wps:cNvSpPr/>
                              <wps:spPr>
                                <a:xfrm>
                                  <a:off x="0" y="0"/>
                                  <a:ext cx="5978520" cy="18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0">
                                  <a:noFill/>
                                </a:ln>
                              </wps:spPr>
                              <wps:style>
                                <a:lnRef idx="0"/>
                                <a:fillRef idx="0"/>
                                <a:effectRef idx="0"/>
                                <a:fontRef idx="minor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shape_0" alt="Group 2" style="position:absolute;margin-left:0pt;margin-top:-1.55pt;width:470.75pt;height:1.45pt" coordorigin="0,-31" coordsize="9415,29">
                      <v:rect id="shape_0" ID="Rectangle 3" path="m0,0l-2147483645,0l-2147483645,-2147483646l0,-2147483646xe" fillcolor="black" stroked="f" o:allowincell="f" style="position:absolute;left:0;top:-31;width:9414;height:28;mso-wrap-style:none;v-text-anchor:middle;mso-position-vertical:top">
                        <v:fill o:detectmouseclick="t" type="solid" color2="white"/>
                        <v:stroke color="#3465a4" joinstyle="round" endcap="flat"/>
                        <w10:wrap type="square"/>
                      </v:rect>
                    </v:group>
                  </w:pict>
                </mc:Fallback>
              </mc:AlternateContent>
            </w:r>
          </w:p>
          <w:p>
            <w:pPr>
              <w:pStyle w:val="TableParagraph"/>
              <w:widowControl w:val="false"/>
              <w:suppressAutoHyphens w:val="true"/>
              <w:spacing w:before="0" w:after="0"/>
              <w:ind w:left="271" w:right="269" w:hanging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Отдел экономического развития и потребительского рынка администрации Ивнянского района</w:t>
            </w:r>
          </w:p>
        </w:tc>
      </w:tr>
      <w:tr>
        <w:trPr>
          <w:trHeight w:val="642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662" w:leader="none"/>
              </w:tabs>
              <w:suppressAutoHyphens w:val="true"/>
              <w:spacing w:lineRule="exact" w:line="315" w:before="0" w:after="0"/>
              <w:ind w:left="107" w:righ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 xml:space="preserve">1.   Обоснование </w:t>
            </w:r>
            <w:r>
              <w:rPr>
                <w:spacing w:val="38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 w:bidi="ar-SA"/>
              </w:rPr>
              <w:t xml:space="preserve">необходимости </w:t>
            </w:r>
            <w:r>
              <w:rPr>
                <w:spacing w:val="55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 w:bidi="ar-SA"/>
              </w:rPr>
              <w:t>принятия</w:t>
              <w:tab/>
              <w:t>нормативного правового</w:t>
            </w:r>
            <w:r>
              <w:rPr>
                <w:spacing w:val="40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 w:bidi="ar-SA"/>
              </w:rPr>
              <w:t>акта</w:t>
            </w:r>
          </w:p>
          <w:p>
            <w:pPr>
              <w:pStyle w:val="TableParagraph"/>
              <w:widowControl w:val="false"/>
              <w:suppressAutoHyphens w:val="true"/>
              <w:spacing w:lineRule="exact" w:line="308" w:before="0" w:after="0"/>
              <w:ind w:left="107" w:right="0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(основания, концепция, цели, задачи, последствия принятия):</w:t>
            </w:r>
          </w:p>
        </w:tc>
      </w:tr>
      <w:tr>
        <w:trPr>
          <w:trHeight w:val="1158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/>
              <w:suppressAutoHyphens w:val="true"/>
              <w:bidi w:val="0"/>
              <w:spacing w:lineRule="auto" w:line="240" w:before="0" w:after="0"/>
              <w:ind w:left="0" w:right="170" w:firstLine="567"/>
              <w:jc w:val="both"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eastAsia="en-US" w:bidi="ar-SA"/>
              </w:rPr>
              <w:t xml:space="preserve">В  целях определения требований к процессам сбора, обработки                                    и представления отчетных сведений в рамках мониторинга муниципальных программам Ивнянского района Белгородской области </w:t>
            </w:r>
          </w:p>
        </w:tc>
      </w:tr>
      <w:tr>
        <w:trPr>
          <w:trHeight w:val="1288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spacing w:before="0" w:after="0"/>
              <w:ind w:left="107" w:right="101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 w:bidi="ar-SA"/>
              </w:rPr>
              <w:t>(окажет/не окажет,</w:t>
            </w:r>
            <w:r>
              <w:rPr>
                <w:spacing w:val="51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 w:bidi="ar-SA"/>
              </w:rPr>
              <w:t>если окажет,</w:t>
            </w:r>
          </w:p>
          <w:p>
            <w:pPr>
              <w:pStyle w:val="TableParagraph"/>
              <w:widowControl w:val="false"/>
              <w:suppressAutoHyphens w:val="true"/>
              <w:spacing w:lineRule="exact" w:line="307" w:before="0" w:after="0"/>
              <w:ind w:left="107" w:right="0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укажите какое влияние и на какие товарные рынки):</w:t>
            </w:r>
          </w:p>
        </w:tc>
      </w:tr>
      <w:tr>
        <w:trPr>
          <w:trHeight w:val="356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535" w:leader="none"/>
              </w:tabs>
              <w:suppressAutoHyphens w:val="true"/>
              <w:bidi w:val="0"/>
              <w:spacing w:lineRule="exact" w:line="261" w:before="0" w:after="0"/>
              <w:ind w:left="0" w:right="0" w:firstLine="567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Не окажет</w:t>
            </w:r>
          </w:p>
        </w:tc>
      </w:tr>
      <w:tr>
        <w:trPr>
          <w:trHeight w:val="1610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033" w:leader="none"/>
              </w:tabs>
              <w:suppressAutoHyphens w:val="true"/>
              <w:spacing w:before="0" w:after="0"/>
              <w:ind w:left="107" w:right="97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kern w:val="0"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eastAsia="en-US" w:bidi="ar-SA"/>
              </w:rPr>
              <w:t>присутствуют,</w:t>
            </w:r>
          </w:p>
          <w:p>
            <w:pPr>
              <w:pStyle w:val="TableParagraph"/>
              <w:widowControl w:val="false"/>
              <w:suppressAutoHyphens w:val="true"/>
              <w:spacing w:lineRule="exact" w:line="316" w:before="0" w:after="0"/>
              <w:ind w:left="107" w:right="0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отразите короткое обоснование их наличия):</w:t>
            </w:r>
          </w:p>
        </w:tc>
      </w:tr>
      <w:tr>
        <w:trPr>
          <w:trHeight w:val="218" w:hRule="atLeast"/>
        </w:trPr>
        <w:tc>
          <w:tcPr>
            <w:tcW w:w="9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uppressAutoHyphens w:val="true"/>
              <w:bidi w:val="0"/>
              <w:spacing w:lineRule="exact" w:line="312" w:before="0" w:after="0"/>
              <w:ind w:left="113" w:right="0" w:firstLine="397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eastAsia="en-US" w:bidi="ar-SA"/>
              </w:rPr>
              <w:t>Отсутствуют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80" w:right="620" w:gutter="0" w:header="0" w:top="112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Текст Знак"/>
    <w:qFormat/>
    <w:rPr>
      <w:rFonts w:ascii="Courier New" w:hAnsi="Courier New" w:eastAsia="Times New Roman" w:cs="Times New Roman"/>
      <w:color w:val="000000"/>
      <w:sz w:val="20"/>
      <w:szCs w:val="20"/>
    </w:rPr>
  </w:style>
  <w:style w:type="character" w:styleId="Style15">
    <w:name w:val="Текст сноски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2">
    <w:name w:val="Основной текст с отступом 2 Знак"/>
    <w:qFormat/>
    <w:rPr>
      <w:rFonts w:ascii="Times New Roman" w:hAnsi="Times New Roman" w:eastAsia="Times New Roman" w:cs="Times New Roman"/>
      <w:color w:val="000000"/>
      <w:sz w:val="28"/>
      <w:szCs w:val="20"/>
    </w:rPr>
  </w:style>
  <w:style w:type="character" w:styleId="Style16">
    <w:name w:val="Основной текст_"/>
    <w:qFormat/>
    <w:rPr>
      <w:spacing w:val="-4"/>
      <w:sz w:val="28"/>
      <w:szCs w:val="28"/>
      <w:shd w:fill="FFFFFF" w:val="clear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character" w:styleId="Style17">
    <w:name w:val="Нижний колонтитул Знак"/>
    <w:qFormat/>
    <w:rPr>
      <w:rFonts w:ascii="Calibri" w:hAnsi="Calibri" w:eastAsia="Times New Roman" w:cs="Times New Roman"/>
      <w:color w:val="000000"/>
      <w:sz w:val="24"/>
      <w:szCs w:val="24"/>
    </w:rPr>
  </w:style>
  <w:style w:type="character" w:styleId="Style18">
    <w:name w:val="Верхний колонтитул Знак"/>
    <w:qFormat/>
    <w:rPr>
      <w:rFonts w:ascii="Calibri" w:hAnsi="Calibri" w:eastAsia="Times New Roman" w:cs="Times New Roman"/>
      <w:color w:val="000000"/>
      <w:sz w:val="24"/>
      <w:szCs w:val="24"/>
    </w:rPr>
  </w:style>
  <w:style w:type="character" w:styleId="Style19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EndnoteTextChar">
    <w:name w:val="Endnote Text Char"/>
    <w:qFormat/>
    <w:rPr>
      <w:sz w:val="20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eaderChar">
    <w:name w:val="Header Char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rFonts w:ascii="Times New Roman" w:hAnsi="Times New Roman" w:eastAsia="Times New Roman" w:cs="Times New Roman"/>
      <w:color w:val="000000"/>
    </w:rPr>
  </w:style>
  <w:style w:type="character" w:styleId="TitleChar">
    <w:name w:val="Title Char"/>
    <w:basedOn w:val="DefaultParagraphFont"/>
    <w:qFormat/>
    <w:rPr>
      <w:rFonts w:ascii="Times New Roman" w:hAnsi="Times New Roman" w:eastAsia="Times New Roman" w:cs="Times New Roman"/>
      <w:color w:val="000000"/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color w:val="000000"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color w:val="000000"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color w:val="000000"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color w:val="000000"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color w:val="00000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color w:val="000000"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color w:val="000000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color w:val="000000"/>
      <w:sz w:val="34"/>
      <w:szCs w:val="2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color w:val="000000"/>
      <w:sz w:val="40"/>
      <w:szCs w:val="40"/>
    </w:rPr>
  </w:style>
  <w:style w:type="character" w:styleId="-">
    <w:name w:val="Hyperlink"/>
    <w:rPr>
      <w:color w:val="00008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1">
    <w:name w:val="Body Text"/>
    <w:basedOn w:val="Normal"/>
    <w:uiPriority w:val="1"/>
    <w:qFormat/>
    <w:pPr/>
    <w:rPr>
      <w:b/>
      <w:bCs/>
      <w:sz w:val="28"/>
      <w:szCs w:val="28"/>
    </w:rPr>
  </w:style>
  <w:style w:type="paragraph" w:styleId="Style22">
    <w:name w:val="List"/>
    <w:basedOn w:val="Style21"/>
    <w:pPr/>
    <w:rPr>
      <w:rFonts w:ascii="PT Astra Serif" w:hAnsi="PT Astra Serif" w:cs="Noto Sans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>
      <w:ind w:left="534" w:hanging="0"/>
    </w:pPr>
    <w:rPr/>
  </w:style>
  <w:style w:type="paragraph" w:styleId="Bodytext2">
    <w:name w:val="Body text (2)"/>
    <w:basedOn w:val="Normal"/>
    <w:qFormat/>
    <w:pPr>
      <w:shd w:fill="FFFFFF"/>
      <w:spacing w:lineRule="exact" w:line="302" w:before="86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Heading4">
    <w:name w:val="Heading #4"/>
    <w:basedOn w:val="Normal"/>
    <w:qFormat/>
    <w:pPr>
      <w:shd w:fill="FFFFFF"/>
      <w:spacing w:lineRule="exact" w:line="322" w:before="780" w:after="0"/>
      <w:ind w:hanging="2120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PlainText">
    <w:name w:val="Plain Text"/>
    <w:basedOn w:val="Normal"/>
    <w:qFormat/>
    <w:pPr>
      <w:spacing w:lineRule="exact" w:line="240" w:before="0" w:after="0"/>
    </w:pPr>
    <w:rPr>
      <w:rFonts w:ascii="Courier New" w:hAnsi="Courier New"/>
      <w:sz w:val="20"/>
      <w:szCs w:val="20"/>
    </w:rPr>
  </w:style>
  <w:style w:type="paragraph" w:styleId="ConsPlusTextList">
    <w:name w:val="ConsPlusTextLis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JurTerm">
    <w:name w:val="ConsPlusJurTerm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6"/>
      <w:szCs w:val="20"/>
      <w:lang w:val="ru-RU" w:eastAsia="ru-RU" w:bidi="ar-SA"/>
    </w:rPr>
  </w:style>
  <w:style w:type="paragraph" w:styleId="ConsPlusTitlePage">
    <w:name w:val="ConsPlusTitlePag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ConsPlusDocList">
    <w:name w:val="ConsPlusDocLis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odyTextIndent2">
    <w:name w:val="Body Text Indent 2"/>
    <w:basedOn w:val="Normal"/>
    <w:qFormat/>
    <w:pPr>
      <w:spacing w:lineRule="exact" w:line="360" w:before="0" w:after="0"/>
      <w:ind w:firstLine="1418"/>
    </w:pPr>
    <w:rPr>
      <w:rFonts w:ascii="Times New Roman" w:hAnsi="Times New Roman"/>
      <w:sz w:val="28"/>
      <w:szCs w:val="20"/>
    </w:rPr>
  </w:style>
  <w:style w:type="paragraph" w:styleId="21">
    <w:name w:val="Основной текст2"/>
    <w:basedOn w:val="Normal"/>
    <w:qFormat/>
    <w:pPr>
      <w:widowControl w:val="false"/>
      <w:shd w:fill="FFFFFF"/>
      <w:spacing w:lineRule="exact" w:line="320" w:before="900" w:after="0"/>
    </w:pPr>
    <w:rPr>
      <w:rFonts w:ascii="Calibri" w:hAnsi="Calibri" w:eastAsia="Calibri" w:cs="Arial"/>
      <w:spacing w:val="-4"/>
      <w:sz w:val="28"/>
      <w:szCs w:val="28"/>
      <w:lang w:eastAsia="en-US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ind w:firstLine="709"/>
      <w:jc w:val="both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rmal">
    <w:name w:val="ConsPlus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25">
    <w:name w:val="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Tableoffigures">
    <w:name w:val="table of figures"/>
    <w:basedOn w:val="Normal"/>
    <w:qFormat/>
    <w:pPr>
      <w:spacing w:before="0" w:afterAutospacing="0" w:after="0"/>
    </w:pPr>
    <w:rPr/>
  </w:style>
  <w:style w:type="paragraph" w:styleId="IntenseQuote">
    <w:name w:val="Intense Quote"/>
    <w:basedOn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spacing w:before="0" w:after="0"/>
      <w:ind w:left="720" w:right="720" w:hanging="0"/>
    </w:pPr>
    <w:rPr>
      <w:i/>
    </w:rPr>
  </w:style>
  <w:style w:type="paragraph" w:styleId="Quote">
    <w:name w:val="Quote"/>
    <w:basedOn w:val="Normal"/>
    <w:qFormat/>
    <w:pPr>
      <w:ind w:left="720" w:right="720" w:hanging="0"/>
    </w:pPr>
    <w:rPr>
      <w:i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LibreOffice/7.5.6.2$Linux_X86_64 LibreOffice_project/50$Build-2</Application>
  <AppVersion>15.0000</AppVersion>
  <Pages>1</Pages>
  <Words>152</Words>
  <Characters>1180</Characters>
  <CharactersWithSpaces>1362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dc:description/>
  <dc:language>ru-RU</dc:language>
  <cp:lastModifiedBy/>
  <cp:lastPrinted>2024-08-21T16:57:41Z</cp:lastPrinted>
  <dcterms:modified xsi:type="dcterms:W3CDTF">2024-09-03T15:05:35Z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