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widowControl w:val="off"/>
        <w:ind w:left="426"/>
        <w:jc w:val="center"/>
        <w:rPr>
          <w:b/>
          <w:bCs/>
          <w:szCs w:val="28"/>
        </w:rPr>
      </w:pPr>
      <w:r>
        <w:rPr>
          <w:b/>
          <w:bCs/>
          <w:szCs w:val="28"/>
        </w:rPr>
        <w:t xml:space="preserve">Р О С </w:t>
      </w:r>
      <w:r>
        <w:rPr>
          <w:b/>
          <w:bCs/>
          <w:szCs w:val="28"/>
        </w:rPr>
        <w:t xml:space="preserve">С</w:t>
      </w:r>
      <w:r>
        <w:rPr>
          <w:b/>
          <w:bCs/>
          <w:szCs w:val="28"/>
        </w:rPr>
        <w:t xml:space="preserve"> И Й С К А Я   Ф Е Д Е Р А Ц И Я</w:t>
      </w:r>
    </w:p>
    <w:p>
      <w:pPr>
        <w:widowControl w:val="off"/>
        <w:ind w:left="426"/>
        <w:jc w:val="center"/>
        <w:rPr>
          <w:b/>
          <w:bCs/>
          <w:szCs w:val="28"/>
        </w:rPr>
      </w:pPr>
      <w:r>
        <w:rPr>
          <w:b/>
          <w:bCs/>
          <w:szCs w:val="28"/>
        </w:rPr>
        <w:t xml:space="preserve">Б Е Л Г О </w:t>
      </w:r>
      <w:r>
        <w:rPr>
          <w:b/>
          <w:bCs/>
          <w:szCs w:val="28"/>
        </w:rPr>
        <w:t xml:space="preserve">Р</w:t>
      </w:r>
      <w:r>
        <w:rPr>
          <w:b/>
          <w:bCs/>
          <w:szCs w:val="28"/>
        </w:rPr>
        <w:t xml:space="preserve"> О Д С К А Я  О Б Л А С Т Ь</w:t>
      </w:r>
    </w:p>
    <w:p>
      <w:pPr>
        <w:widowControl w:val="off"/>
        <w:ind w:left="426"/>
        <w:jc w:val="center"/>
        <w:rPr>
          <w:b/>
          <w:bCs/>
          <w:szCs w:val="28"/>
        </w:rPr>
      </w:pPr>
      <w:r>
        <w:rPr>
          <w:b/>
          <w:szCs w:val="28"/>
        </w:rPr>
      </w:r>
      <w:r>
        <w:rPr>
          <w:b/>
          <w:szCs w:val="28"/>
        </w:rPr>
        <mc:AlternateContent>
          <mc:Choice Requires="wpg">
            <w:drawing>
              <wp:inline xmlns:wp="http://schemas.openxmlformats.org/drawingml/2006/wordprocessingDrawing" distT="0" distB="0" distL="0" distR="0">
                <wp:extent cx="723900" cy="885825"/>
                <wp:effectExtent l="0" t="0" r="0" b="0"/>
                <wp:docPr id="2" name="_x0000_i0"/>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3"/>
                        <a:stretch/>
                      </pic:blipFill>
                      <pic:spPr>
                        <a:xfrm>
                          <a:off x="0" y="0"/>
                          <a:ext cx="723900" cy="885825"/>
                        </a:xfrm>
                        <a:prstGeom prst="rect">
                          <a:avLst/>
                        </a:prstGeom>
                        <a:noFill/>
                        <a:ln>
                          <a:noFill/>
                          <a:round/>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57.00pt;height:69.75pt;mso-wrap-distance-left:0.00pt;mso-wrap-distance-top:0.00pt;mso-wrap-distance-right:0.00pt;mso-wrap-distance-bottom:0.00pt;" stroked="f">
                <v:path textboxrect="0,0,0,0"/>
                <v:imagedata r:id="rId13" o:title=""/>
              </v:shape>
            </w:pict>
          </mc:Fallback>
        </mc:AlternateContent>
      </w:r>
    </w:p>
    <w:p>
      <w:pPr>
        <w:widowControl w:val="off"/>
        <w:ind w:left="426"/>
        <w:jc w:val="center"/>
        <w:rPr>
          <w:b/>
          <w:bCs/>
          <w:szCs w:val="28"/>
        </w:rPr>
      </w:pPr>
    </w:p>
    <w:p>
      <w:pPr>
        <w:widowControl w:val="off"/>
        <w:ind w:left="426"/>
        <w:jc w:val="center"/>
        <w:rPr>
          <w:b/>
          <w:bCs/>
          <w:szCs w:val="28"/>
        </w:rPr>
      </w:pPr>
      <w:r>
        <w:rPr>
          <w:b/>
          <w:bCs/>
          <w:szCs w:val="28"/>
        </w:rPr>
        <w:t xml:space="preserve">МУНИЦИПАЛЬНЫЙ СОВЕТ МУНИЦИПАЛЬНОГО РАЙОНА</w:t>
      </w:r>
    </w:p>
    <w:p>
      <w:pPr>
        <w:widowControl w:val="off"/>
        <w:ind w:left="426"/>
        <w:jc w:val="center"/>
        <w:rPr>
          <w:b/>
          <w:bCs/>
          <w:szCs w:val="28"/>
        </w:rPr>
      </w:pPr>
      <w:r>
        <w:rPr>
          <w:b/>
          <w:bCs/>
          <w:szCs w:val="28"/>
        </w:rPr>
        <w:t xml:space="preserve">«ИВНЯНСКИЙ РАЙОН»</w:t>
      </w:r>
    </w:p>
    <w:p>
      <w:pPr>
        <w:widowControl w:val="off"/>
        <w:ind w:left="426"/>
        <w:jc w:val="center"/>
        <w:rPr>
          <w:b/>
          <w:bCs/>
          <w:szCs w:val="28"/>
        </w:rPr>
      </w:pPr>
    </w:p>
    <w:p>
      <w:pPr>
        <w:widowControl w:val="off"/>
        <w:ind w:left="426"/>
        <w:jc w:val="center"/>
        <w:rPr>
          <w:b/>
          <w:bCs/>
          <w:szCs w:val="28"/>
        </w:rPr>
      </w:pPr>
      <w:r>
        <w:rPr>
          <w:b/>
          <w:bCs/>
          <w:szCs w:val="28"/>
        </w:rPr>
        <w:t xml:space="preserve">Р Е Ш Е Н И Е</w:t>
      </w:r>
    </w:p>
    <w:p>
      <w:pPr>
        <w:widowControl w:val="off"/>
        <w:ind w:left="426"/>
        <w:jc w:val="center"/>
        <w:rPr>
          <w:b/>
          <w:bCs/>
          <w:szCs w:val="28"/>
        </w:rPr>
      </w:pPr>
    </w:p>
    <w:p>
      <w:pPr>
        <w:widowControl w:val="off"/>
        <w:ind w:left="426"/>
        <w:rPr>
          <w:bCs/>
          <w:szCs w:val="28"/>
        </w:rPr>
      </w:pPr>
      <w:r>
        <w:rPr>
          <w:bCs/>
          <w:szCs w:val="28"/>
        </w:rPr>
        <w:t xml:space="preserve">_____________  2025 года                                                                            № _______</w:t>
      </w:r>
    </w:p>
    <w:p>
      <w:pPr>
        <w:widowControl w:val="off"/>
        <w:ind w:left="426"/>
        <w:rPr>
          <w:i/>
          <w:szCs w:val="28"/>
        </w:rPr>
      </w:pPr>
    </w:p>
    <w:p>
      <w:pPr>
        <w:widowControl w:val="off"/>
        <w:ind w:left="426"/>
        <w:rPr>
          <w:i/>
        </w:rPr>
      </w:pPr>
    </w:p>
    <w:tbl>
      <w:tblPr>
        <w:tblStyle w:val="aff9"/>
        <w:tblW w:w="9639"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20"/>
        <w:gridCol w:w="4819"/>
      </w:tblGrid>
      <w:tr>
        <w:tc>
          <w:tcPr>
            <w:tcW w:w="4820" w:type="dxa"/>
          </w:tcPr>
          <w:p>
            <w:pPr>
              <w:jc w:val="both"/>
              <w:rPr>
                <w:sz w:val="28"/>
                <w:szCs w:val="28"/>
              </w:rPr>
            </w:pPr>
            <w:r>
              <w:rPr>
                <w:b/>
                <w:bCs/>
                <w:color w:val="000000"/>
                <w:sz w:val="28"/>
                <w:szCs w:val="28"/>
              </w:rPr>
              <w:t xml:space="preserve">Об утверждении Положения                    о муниципальном контроле в сфере благоустройства в границах Ивнянского района Белгородской области</w:t>
            </w:r>
            <w:r>
              <w:rPr>
                <w:color w:val="000000"/>
                <w:sz w:val="28"/>
                <w:szCs w:val="28"/>
              </w:rPr>
              <w:t xml:space="preserve"> </w:t>
            </w:r>
          </w:p>
        </w:tc>
        <w:tc>
          <w:tcPr>
            <w:tcW w:w="4819" w:type="dxa"/>
          </w:tcPr>
          <w:p>
            <w:pPr>
              <w:pStyle w:val="ConsPlusTitle"/>
              <w:ind w:left="426"/>
              <w:jc w:val="center"/>
              <w:rPr>
                <w:rFonts w:ascii="Times New Roman" w:hAnsi="Times New Roman" w:cs="Times New Roman"/>
                <w:sz w:val="28"/>
                <w:szCs w:val="28"/>
              </w:rPr>
            </w:pPr>
          </w:p>
        </w:tc>
      </w:tr>
    </w:tbl>
    <w:p>
      <w:pPr>
        <w:pStyle w:val="ConsPlusNormal"/>
        <w:ind w:left="426" w:firstLine="540"/>
        <w:jc w:val="both"/>
        <w:rPr>
          <w:rFonts w:ascii="Times New Roman" w:hAnsi="Times New Roman" w:cs="Times New Roman"/>
          <w:sz w:val="24"/>
          <w:szCs w:val="24"/>
        </w:rPr>
      </w:pPr>
    </w:p>
    <w:p>
      <w:pPr>
        <w:pStyle w:val="ConsPlusNormal"/>
        <w:ind w:left="426" w:firstLine="540"/>
        <w:jc w:val="both"/>
        <w:rPr>
          <w:rFonts w:ascii="Times New Roman" w:hAnsi="Times New Roman" w:cs="Times New Roman"/>
          <w:sz w:val="24"/>
          <w:szCs w:val="24"/>
        </w:rPr>
      </w:pPr>
    </w:p>
    <w:p>
      <w:pPr>
        <w:pStyle w:val="ConsPlusNormal"/>
        <w:ind w:firstLine="708"/>
        <w:jc w:val="both"/>
        <w:rPr>
          <w:rFonts w:ascii="Times New Roman" w:hAnsi="Times New Roman" w:cs="Times New Roman"/>
          <w:b/>
          <w:sz w:val="28"/>
          <w:szCs w:val="28"/>
        </w:rPr>
      </w:pPr>
      <w:r>
        <w:rPr>
          <w:rFonts w:ascii="Times New Roman" w:hAnsi="Times New Roman" w:cs="Times New Roman"/>
          <w:color w:val="000000"/>
          <w:sz w:val="28"/>
          <w:szCs w:val="28"/>
        </w:rPr>
        <w:t xml:space="preserve">В соответствии с</w:t>
      </w:r>
      <w:r>
        <w:rPr>
          <w:rFonts w:ascii="Times New Roman" w:hAnsi="Times New Roman" w:cs="Times New Roman"/>
          <w:color w:val="000000"/>
          <w:sz w:val="28"/>
          <w:szCs w:val="28"/>
          <w:lang w:eastAsia="ru-RU"/>
        </w:rPr>
        <w:t xml:space="preserve"> Федеральным законом от 6 октября 2003 года № 131-ФЗ «Об общих принципах организации местного самоуправления в Российской Федерации», </w:t>
      </w:r>
      <w:r>
        <w:rPr>
          <w:rFonts w:ascii="Times New Roman" w:hAnsi="Times New Roman" w:cs="Times New Roman"/>
          <w:color w:val="000000"/>
          <w:sz w:val="28"/>
          <w:szCs w:val="28"/>
        </w:rPr>
        <w:t xml:space="preserve">Федеральным законом от 31 июля 2020 года № 248-ФЗ                       «О государственном контроле (надзоре) и муниципальном контроле                         в Российской Федерации», руководствуясь </w:t>
      </w:r>
      <w:r>
        <w:rPr>
          <w:rFonts w:ascii="Times New Roman" w:hAnsi="Times New Roman" w:cs="Times New Roman"/>
          <w:sz w:val="28"/>
          <w:szCs w:val="28"/>
        </w:rPr>
        <w:t xml:space="preserve">Уставом муниципального района «Ивнянский район» Белгородской области </w:t>
      </w:r>
      <w:r>
        <w:rPr>
          <w:rFonts w:ascii="Times New Roman" w:hAnsi="Times New Roman" w:cs="Times New Roman"/>
          <w:b/>
          <w:sz w:val="28"/>
          <w:szCs w:val="28"/>
        </w:rPr>
        <w:t xml:space="preserve">Муниципальный совет Ивнянского района р е ш и л:</w:t>
      </w:r>
    </w:p>
    <w:p>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color w:val="000000"/>
          <w:sz w:val="28"/>
          <w:szCs w:val="28"/>
        </w:rPr>
        <w:t xml:space="preserve">Утвердить Положение о муниципальном контроле в сфере благоустройства в границах Ивнянского района Белгородской области в новой редакции (прилагается).</w:t>
      </w:r>
    </w:p>
    <w:p>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2. Признать утратившим силу решение Муниципального совета Ивнянского района от 26 октября 2021 года № 34/440 «Об утверждении Положения о муниципальном контроле в сфере благоустройства на территории Ивнянского района Белгородской области». </w:t>
      </w:r>
    </w:p>
    <w:p>
      <w:pPr>
        <w:shd w:val="clear" w:color="auto" w:fill="ffffff"/>
        <w:ind w:firstLine="709"/>
        <w:jc w:val="both"/>
        <w:rPr>
          <w:color w:val="000000"/>
          <w:sz w:val="28"/>
          <w:szCs w:val="28"/>
        </w:rPr>
      </w:pPr>
      <w:r>
        <w:rPr>
          <w:sz w:val="28"/>
          <w:szCs w:val="28"/>
        </w:rPr>
        <w:t xml:space="preserve">3. Разместить настоящее решение на официальном web-сайте муниципального района «Ивнянский район» Белгородской области </w:t>
      </w:r>
      <w:hyperlink r:id="rId14" w:tooltip="https://ivnya-r31.gosweb.gosuslugi.ru/" w:history="1">
        <w:r>
          <w:rPr>
            <w:rStyle w:val="af0"/>
            <w:color w:val="000000" w:themeColor="text1"/>
            <w:sz w:val="28"/>
            <w:szCs w:val="28"/>
            <w:lang w:val="en-US"/>
          </w:rPr>
          <w:t xml:space="preserve">https</w:t>
        </w:r>
        <w:r>
          <w:rPr>
            <w:rStyle w:val="af0"/>
            <w:color w:val="000000" w:themeColor="text1"/>
            <w:sz w:val="28"/>
            <w:szCs w:val="28"/>
          </w:rPr>
          <w:t xml:space="preserve">://</w:t>
        </w:r>
        <w:r>
          <w:rPr>
            <w:rStyle w:val="af0"/>
            <w:color w:val="000000" w:themeColor="text1"/>
            <w:sz w:val="28"/>
            <w:szCs w:val="28"/>
            <w:lang w:val="en-US"/>
          </w:rPr>
          <w:t xml:space="preserve">ivnya</w:t>
        </w:r>
        <w:r>
          <w:rPr>
            <w:rStyle w:val="af0"/>
            <w:color w:val="000000" w:themeColor="text1"/>
            <w:sz w:val="28"/>
            <w:szCs w:val="28"/>
          </w:rPr>
          <w:t xml:space="preserve">-</w:t>
        </w:r>
        <w:r>
          <w:rPr>
            <w:rStyle w:val="af0"/>
            <w:color w:val="000000" w:themeColor="text1"/>
            <w:sz w:val="28"/>
            <w:szCs w:val="28"/>
            <w:lang w:val="en-US"/>
          </w:rPr>
          <w:t xml:space="preserve">r</w:t>
        </w:r>
        <w:r>
          <w:rPr>
            <w:rStyle w:val="af0"/>
            <w:color w:val="000000" w:themeColor="text1"/>
            <w:sz w:val="28"/>
            <w:szCs w:val="28"/>
          </w:rPr>
          <w:t xml:space="preserve">31.</w:t>
        </w:r>
        <w:r>
          <w:rPr>
            <w:rStyle w:val="af0"/>
            <w:color w:val="000000" w:themeColor="text1"/>
            <w:sz w:val="28"/>
            <w:szCs w:val="28"/>
            <w:lang w:val="en-US"/>
          </w:rPr>
          <w:t xml:space="preserve">gosweb</w:t>
        </w:r>
        <w:r>
          <w:rPr>
            <w:rStyle w:val="af0"/>
            <w:color w:val="000000" w:themeColor="text1"/>
            <w:sz w:val="28"/>
            <w:szCs w:val="28"/>
          </w:rPr>
          <w:t xml:space="preserve">.</w:t>
        </w:r>
        <w:r>
          <w:rPr>
            <w:rStyle w:val="af0"/>
            <w:color w:val="000000" w:themeColor="text1"/>
            <w:sz w:val="28"/>
            <w:szCs w:val="28"/>
            <w:lang w:val="en-US"/>
          </w:rPr>
          <w:t xml:space="preserve">gosuslugi</w:t>
        </w:r>
        <w:r>
          <w:rPr>
            <w:rStyle w:val="af0"/>
            <w:color w:val="000000" w:themeColor="text1"/>
            <w:sz w:val="28"/>
            <w:szCs w:val="28"/>
          </w:rPr>
          <w:t xml:space="preserve">.</w:t>
        </w:r>
        <w:r>
          <w:rPr>
            <w:rStyle w:val="af0"/>
            <w:color w:val="000000" w:themeColor="text1"/>
            <w:sz w:val="28"/>
            <w:szCs w:val="28"/>
            <w:lang w:val="en-US"/>
          </w:rPr>
          <w:t xml:space="preserve">ru</w:t>
        </w:r>
        <w:r>
          <w:rPr>
            <w:rStyle w:val="af0"/>
            <w:color w:val="000000" w:themeColor="text1"/>
            <w:sz w:val="28"/>
            <w:szCs w:val="28"/>
          </w:rPr>
          <w:t xml:space="preserve">/</w:t>
        </w:r>
      </w:hyperlink>
      <w:r>
        <w:rPr>
          <w:color w:val="000000" w:themeColor="text1"/>
          <w:sz w:val="28"/>
          <w:szCs w:val="28"/>
        </w:rPr>
        <w:t xml:space="preserve">.</w:t>
      </w:r>
    </w:p>
    <w:p>
      <w:pPr>
        <w:pStyle w:val="constitle0"/>
        <w:spacing w:before="0" w:beforeAutospacing="0" w:after="0" w:afterAutospacing="0"/>
        <w:ind w:firstLine="708"/>
        <w:jc w:val="both"/>
        <w:rPr>
          <w:rFonts w:eastAsia="MS Mincho"/>
          <w:sz w:val="28"/>
          <w:szCs w:val="28"/>
        </w:rPr>
      </w:pPr>
      <w:r>
        <w:rPr>
          <w:rFonts w:eastAsia="MS Mincho"/>
          <w:sz w:val="28"/>
          <w:szCs w:val="28"/>
        </w:rPr>
        <w:t xml:space="preserve">4.Контроль за исполнением настоящего решения возложить на постоянную комиссию Муниципального совета Ивнянского района по экономическому развитию, бюджету, налоговой политике и муниципальной собственности (Листопад В.А.).</w:t>
      </w:r>
    </w:p>
    <w:p>
      <w:pPr>
        <w:pStyle w:val="constitle0"/>
        <w:spacing w:before="0" w:beforeAutospacing="0" w:after="0" w:afterAutospacing="0"/>
        <w:ind w:firstLine="708"/>
        <w:jc w:val="both"/>
        <w:rPr>
          <w:rFonts w:eastAsia="MS Mincho"/>
          <w:sz w:val="28"/>
          <w:szCs w:val="28"/>
        </w:rPr>
      </w:pPr>
    </w:p>
    <w:p>
      <w:pPr>
        <w:tabs>
          <w:tab w:val="num" w:pos="200"/>
        </w:tabs>
        <w:ind w:left="426"/>
        <w:outlineLvl w:val="0"/>
        <w:rPr>
          <w:b/>
          <w:bCs/>
          <w:sz w:val="28"/>
          <w:szCs w:val="28"/>
        </w:rPr>
      </w:pPr>
    </w:p>
    <w:tbl>
      <w:tblPr>
        <w:tblStyle w:val="aff9"/>
        <w:tblW w:w="0" w:type="auto"/>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253"/>
        <w:gridCol w:w="254"/>
        <w:gridCol w:w="4706"/>
        <w:gridCol w:w="426"/>
      </w:tblGrid>
      <w:tr>
        <w:tc>
          <w:tcPr>
            <w:tcW w:w="4253" w:type="dxa"/>
          </w:tcPr>
          <w:p>
            <w:pPr>
              <w:widowControl w:val="off"/>
              <w:jc w:val="center"/>
              <w:rPr>
                <w:b/>
                <w:bCs/>
                <w:sz w:val="28"/>
                <w:szCs w:val="28"/>
              </w:rPr>
            </w:pPr>
            <w:r>
              <w:rPr>
                <w:b/>
                <w:sz w:val="28"/>
                <w:szCs w:val="28"/>
              </w:rPr>
              <w:t xml:space="preserve">Председатель муниципального совета Ивнянского района</w:t>
            </w:r>
          </w:p>
        </w:tc>
        <w:tc>
          <w:tcPr>
            <w:tcW w:w="5386" w:type="dxa"/>
            <w:gridSpan w:val="3"/>
          </w:tcPr>
          <w:p>
            <w:pPr>
              <w:tabs>
                <w:tab w:val="num" w:pos="200"/>
              </w:tabs>
              <w:outlineLvl w:val="0"/>
              <w:rPr>
                <w:b/>
                <w:sz w:val="28"/>
                <w:szCs w:val="28"/>
              </w:rPr>
            </w:pPr>
          </w:p>
          <w:p>
            <w:pPr>
              <w:tabs>
                <w:tab w:val="num" w:pos="200"/>
              </w:tabs>
              <w:jc w:val="right"/>
              <w:outlineLvl w:val="0"/>
              <w:rPr>
                <w:b/>
                <w:bCs/>
                <w:sz w:val="28"/>
                <w:szCs w:val="28"/>
              </w:rPr>
            </w:pPr>
            <w:r>
              <w:rPr>
                <w:b/>
                <w:sz w:val="28"/>
                <w:szCs w:val="28"/>
              </w:rPr>
              <w:t xml:space="preserve">Ю.М. Картамышев</w:t>
            </w:r>
          </w:p>
        </w:tc>
      </w:tr>
      <w:tr>
        <w:trPr>
          <w:gridAfter w:val="1"/>
        </w:trPr>
        <w:tc>
          <w:tcPr>
            <w:tcW w:w="4507" w:type="dxa"/>
            <w:gridSpan w:val="2"/>
          </w:tcPr>
          <w:p>
            <w:pPr>
              <w:widowControl w:val="off"/>
              <w:rPr>
                <w:szCs w:val="28"/>
              </w:rPr>
            </w:pPr>
          </w:p>
        </w:tc>
        <w:tc>
          <w:tcPr>
            <w:tcW w:w="4706" w:type="dxa"/>
          </w:tcPr>
          <w:p>
            <w:pPr>
              <w:widowControl w:val="off"/>
              <w:ind w:left="32"/>
              <w:jc w:val="center"/>
              <w:rPr>
                <w:b/>
                <w:sz w:val="28"/>
                <w:szCs w:val="28"/>
              </w:rPr>
            </w:pPr>
            <w:r>
              <w:rPr>
                <w:b/>
                <w:sz w:val="28"/>
                <w:szCs w:val="28"/>
              </w:rPr>
              <w:t xml:space="preserve">Утверждено</w:t>
            </w:r>
          </w:p>
          <w:p>
            <w:pPr>
              <w:jc w:val="center"/>
              <w:rPr>
                <w:rFonts w:eastAsia="MS Mincho"/>
                <w:b/>
                <w:sz w:val="28"/>
                <w:szCs w:val="28"/>
              </w:rPr>
            </w:pPr>
            <w:r>
              <w:rPr>
                <w:rFonts w:eastAsia="MS Mincho"/>
                <w:b/>
                <w:sz w:val="28"/>
                <w:szCs w:val="28"/>
              </w:rPr>
              <w:t xml:space="preserve">решением Муниципального совета Ивнянского района</w:t>
            </w:r>
          </w:p>
          <w:p>
            <w:pPr>
              <w:jc w:val="center"/>
              <w:rPr>
                <w:b/>
                <w:sz w:val="28"/>
                <w:szCs w:val="28"/>
              </w:rPr>
            </w:pPr>
            <w:r>
              <w:rPr>
                <w:b/>
                <w:sz w:val="28"/>
                <w:szCs w:val="28"/>
              </w:rPr>
              <w:t xml:space="preserve">от __________ 2025 года №  ___</w:t>
            </w:r>
          </w:p>
          <w:p>
            <w:pPr>
              <w:widowControl w:val="off"/>
              <w:rPr>
                <w:szCs w:val="28"/>
              </w:rPr>
            </w:pPr>
          </w:p>
        </w:tc>
      </w:tr>
    </w:tbl>
    <w:p>
      <w:pPr>
        <w:widowControl w:val="off"/>
        <w:ind w:left="426"/>
        <w:rPr>
          <w:szCs w:val="28"/>
        </w:rPr>
      </w:pPr>
    </w:p>
    <w:p>
      <w:pPr>
        <w:ind w:left="426" w:firstLine="567"/>
        <w:jc w:val="right"/>
        <w:rPr>
          <w:color w:val="000000"/>
          <w:sz w:val="17"/>
          <w:szCs w:val="17"/>
        </w:rPr>
      </w:pPr>
    </w:p>
    <w:p>
      <w:pPr>
        <w:ind w:left="426"/>
        <w:jc w:val="center"/>
        <w:rPr>
          <w:b/>
          <w:bCs/>
          <w:color w:val="000000"/>
          <w:sz w:val="28"/>
          <w:szCs w:val="28"/>
        </w:rPr>
      </w:pPr>
      <w:r>
        <w:rPr>
          <w:b/>
          <w:bCs/>
          <w:color w:val="000000"/>
          <w:sz w:val="28"/>
          <w:szCs w:val="28"/>
        </w:rPr>
        <w:t xml:space="preserve">Положение </w:t>
      </w:r>
    </w:p>
    <w:p>
      <w:pPr>
        <w:ind w:left="426"/>
        <w:jc w:val="center"/>
        <w:rPr>
          <w:b/>
          <w:bCs/>
          <w:color w:val="000000"/>
          <w:sz w:val="28"/>
          <w:szCs w:val="28"/>
        </w:rPr>
      </w:pPr>
      <w:r>
        <w:rPr>
          <w:b/>
          <w:bCs/>
          <w:color w:val="000000"/>
          <w:sz w:val="28"/>
          <w:szCs w:val="28"/>
        </w:rPr>
        <w:t xml:space="preserve">о муниципальном контроле в сфере благоустройства в границах </w:t>
      </w:r>
    </w:p>
    <w:p>
      <w:pPr>
        <w:ind w:left="426"/>
        <w:jc w:val="center"/>
        <w:rPr>
          <w:i/>
          <w:iCs/>
          <w:color w:val="000000"/>
        </w:rPr>
      </w:pPr>
      <w:r>
        <w:rPr>
          <w:b/>
          <w:bCs/>
          <w:color w:val="000000"/>
          <w:sz w:val="28"/>
          <w:szCs w:val="28"/>
        </w:rPr>
        <w:t xml:space="preserve">Ивнянского района Белгородской области</w:t>
      </w:r>
      <w:r>
        <w:rPr>
          <w:color w:val="000000"/>
        </w:rPr>
        <w:t xml:space="preserve"> </w:t>
      </w:r>
    </w:p>
    <w:p>
      <w:pPr>
        <w:spacing w:line="360" w:lineRule="auto"/>
        <w:ind w:left="426"/>
        <w:jc w:val="center"/>
      </w:pPr>
    </w:p>
    <w:p>
      <w:pPr>
        <w:pStyle w:val="ConsPlusNormal"/>
        <w:numPr>
          <w:numId w:val="2"/>
          <w:ilvl w:val="0"/>
        </w:numPr>
        <w:jc w:val="center"/>
        <w:rPr>
          <w:rFonts w:ascii="Times New Roman" w:hAnsi="Times New Roman" w:cs="Times New Roman"/>
          <w:sz w:val="28"/>
          <w:szCs w:val="28"/>
        </w:rPr>
      </w:pPr>
      <w:r>
        <w:rPr>
          <w:rFonts w:ascii="Times New Roman" w:hAnsi="Times New Roman" w:cs="Times New Roman"/>
          <w:b/>
          <w:sz w:val="28"/>
          <w:szCs w:val="28"/>
        </w:rPr>
        <w:t xml:space="preserve">Общие положения</w:t>
      </w:r>
    </w:p>
    <w:p>
      <w:pPr>
        <w:pStyle w:val="ConsPlusNormal"/>
        <w:ind w:firstLine="567"/>
        <w:rPr>
          <w:sz w:val="28"/>
          <w:szCs w:val="28"/>
        </w:rPr>
      </w:pPr>
    </w:p>
    <w:p>
      <w:pPr>
        <w:pStyle w:val="a3"/>
        <w:tabs>
          <w:tab w:val="left" w:pos="1134"/>
        </w:tabs>
        <w:ind w:left="0" w:firstLine="709"/>
        <w:jc w:val="both"/>
        <w:rPr>
          <w:sz w:val="28"/>
          <w:szCs w:val="28"/>
        </w:rPr>
      </w:pPr>
      <w:r>
        <w:rPr>
          <w:sz w:val="28"/>
          <w:szCs w:val="28"/>
        </w:rPr>
        <w:t xml:space="preserve">1.1.</w:t>
      </w:r>
      <w:r>
        <w:rPr>
          <w:sz w:val="28"/>
          <w:szCs w:val="28"/>
        </w:rPr>
        <w:tab/>
        <w:t xml:space="preserve">  Настоящее Положение устанавливает порядок организации                       и осуществления муниципального контроля в сфере благоустройства                        в границах Ивнянского района </w:t>
      </w:r>
      <w:r>
        <w:rPr>
          <w:color w:val="000000"/>
          <w:sz w:val="28"/>
          <w:szCs w:val="28"/>
        </w:rPr>
        <w:t xml:space="preserve">Белгородской области</w:t>
      </w:r>
      <w:r>
        <w:rPr>
          <w:sz w:val="28"/>
          <w:szCs w:val="28"/>
        </w:rPr>
        <w:t xml:space="preserve"> (далее – муниципальный контроль).</w:t>
      </w:r>
    </w:p>
    <w:p>
      <w:pPr>
        <w:pStyle w:val="ConsPlusNormal"/>
        <w:ind w:firstLine="709"/>
        <w:jc w:val="both"/>
        <w:rPr>
          <w:rFonts w:ascii="Times New Roman" w:hAnsi="Times New Roman" w:cs="Times New Roman"/>
          <w:color w:val="000000"/>
          <w:sz w:val="28"/>
          <w:szCs w:val="28"/>
        </w:rPr>
      </w:pPr>
      <w:r>
        <w:rPr>
          <w:rFonts w:ascii="Times New Roman" w:hAnsi="Times New Roman"/>
          <w:color w:val="000000" w:themeColor="text1"/>
          <w:sz w:val="28"/>
          <w:szCs w:val="28"/>
        </w:rPr>
        <w:t xml:space="preserve">1.2.</w:t>
      </w:r>
      <w:r>
        <w:rPr>
          <w:rFonts w:ascii="Times New Roman" w:hAnsi="Times New Roman"/>
          <w:color w:val="000000" w:themeColor="text1"/>
          <w:sz w:val="16"/>
          <w:szCs w:val="16"/>
        </w:rPr>
        <w:tab/>
      </w:r>
      <w:r>
        <w:rPr>
          <w:rFonts w:ascii="Times New Roman" w:hAnsi="Times New Roman" w:cs="Times New Roman"/>
          <w:color w:val="000000"/>
          <w:sz w:val="28"/>
          <w:szCs w:val="28"/>
        </w:rPr>
        <w:t xml:space="preserve">Предметом муниципального контроля в сфере благоустройства является соблюдение юридическими лицами, индивидуальными предпринимателями и гражданами (далее – контролируемые лица) </w:t>
      </w:r>
      <w:r>
        <w:rPr>
          <w:rFonts w:ascii="Times New Roman" w:hAnsi="Times New Roman" w:cs="Times New Roman"/>
          <w:sz w:val="28"/>
          <w:szCs w:val="28"/>
        </w:rPr>
        <w:t xml:space="preserve">правил благоустройства территории муниципального образования, в том числе требований к обеспечению доступности для инвалидов объектов социальной, инженерной и транспортной инфраструктур и предоставляемых услуг.</w:t>
      </w:r>
    </w:p>
    <w:p>
      <w:pPr>
        <w:pStyle w:val="a3"/>
        <w:tabs>
          <w:tab w:val="left" w:pos="850"/>
          <w:tab w:val="left" w:pos="1134"/>
        </w:tabs>
        <w:ind w:left="0" w:firstLine="709"/>
        <w:jc w:val="both"/>
        <w:rPr>
          <w:color w:val="000000" w:themeColor="text1"/>
          <w:sz w:val="28"/>
          <w:szCs w:val="28"/>
        </w:rPr>
      </w:pPr>
      <w:r>
        <w:rPr>
          <w:sz w:val="28"/>
          <w:szCs w:val="28"/>
        </w:rPr>
        <w:t xml:space="preserve">1.3.</w:t>
      </w:r>
      <w:r>
        <w:rPr>
          <w:sz w:val="16"/>
          <w:szCs w:val="16"/>
        </w:rPr>
        <w:tab/>
        <w:t xml:space="preserve">  </w:t>
      </w:r>
      <w:r>
        <w:rPr>
          <w:sz w:val="28"/>
          <w:szCs w:val="28"/>
        </w:rPr>
        <w:t xml:space="preserve">Муниципальный контроль осуществляется </w:t>
      </w:r>
      <w:r>
        <w:rPr>
          <w:color w:val="000000"/>
          <w:sz w:val="28"/>
          <w:szCs w:val="28"/>
        </w:rPr>
        <w:t xml:space="preserve">администрацией</w:t>
      </w:r>
      <w:r>
        <w:rPr>
          <w:color w:val="000000"/>
        </w:rPr>
        <w:t xml:space="preserve"> </w:t>
      </w:r>
      <w:r>
        <w:rPr>
          <w:sz w:val="28"/>
          <w:szCs w:val="28"/>
        </w:rPr>
        <w:t xml:space="preserve">Ивнянского района Белгородской области (далее – контрольный орган).</w:t>
      </w:r>
    </w:p>
    <w:p>
      <w:pPr>
        <w:pStyle w:val="a3"/>
        <w:tabs>
          <w:tab w:val="left" w:pos="1134"/>
        </w:tabs>
        <w:ind w:left="0" w:firstLine="709"/>
        <w:jc w:val="both"/>
        <w:rPr>
          <w:sz w:val="28"/>
          <w:szCs w:val="28"/>
        </w:rPr>
      </w:pPr>
      <w:r>
        <w:rPr>
          <w:sz w:val="28"/>
          <w:szCs w:val="28"/>
        </w:rPr>
        <w:t xml:space="preserve">1.4. Объектами муниципального контроля (далее – объект контроля) являются:</w:t>
      </w:r>
    </w:p>
    <w:p>
      <w:pPr>
        <w:pStyle w:val="ConsPlusNormal"/>
        <w:ind w:firstLine="709"/>
        <w:jc w:val="both"/>
        <w:rPr>
          <w:rFonts w:ascii="Times New Roman" w:hAnsi="Times New Roman" w:cs="Times New Roman"/>
          <w:color w:val="000000"/>
          <w:sz w:val="28"/>
          <w:szCs w:val="28"/>
        </w:rPr>
      </w:pPr>
      <w:r>
        <w:rPr>
          <w:sz w:val="28"/>
          <w:szCs w:val="28"/>
        </w:rPr>
        <w:t xml:space="preserve"> </w:t>
      </w:r>
      <w:r>
        <w:rPr>
          <w:rFonts w:ascii="Times New Roman" w:hAnsi="Times New Roman" w:cs="Times New Roman"/>
          <w:color w:val="000000"/>
          <w:sz w:val="28"/>
          <w:szCs w:val="28"/>
        </w:rPr>
        <w:t xml:space="preserve">1) деятельность, действия (бездействие) контролируемых лиц в сфере благоустройства территории, в рамках которых должны соблюдаться обязательные требования, </w:t>
      </w:r>
      <w:bookmarkStart w:id="0" w:name="undefined"/>
      <w:r>
        <w:rPr>
          <w:rFonts w:ascii="Times New Roman" w:hAnsi="Times New Roman" w:cs="Times New Roman"/>
          <w:color w:val="000000"/>
          <w:sz w:val="28"/>
          <w:szCs w:val="28"/>
        </w:rPr>
        <w:t xml:space="preserve">в том числе предъявляемые к контролируемым лицам, осуществляющим деятельность, действия (бездействие);</w:t>
      </w:r>
    </w:p>
    <w:p>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w:t>
      </w:r>
      <w:r>
        <w:rPr>
          <w:rFonts w:ascii="Times New Roman" w:hAnsi="Times New Roman" w:cs="Times New Roman"/>
          <w:sz w:val="28"/>
          <w:szCs w:val="28"/>
        </w:rPr>
        <w:t xml:space="preserve">результаты деятельности контролируемых лиц, в том числе работы              и услуги, к которым предъявляются обязательные требования;</w:t>
      </w:r>
    </w:p>
    <w:p>
      <w:pPr>
        <w:pStyle w:val="ConsPlusNormal"/>
        <w:ind w:firstLine="709"/>
        <w:jc w:val="both"/>
        <w:rPr>
          <w:rFonts w:ascii="Times New Roman" w:hAnsi="Times New Roman" w:cs="Times New Roman"/>
          <w:color w:val="000000"/>
          <w:sz w:val="16"/>
          <w:szCs w:val="16"/>
        </w:rPr>
      </w:pPr>
      <w:r>
        <w:rPr>
          <w:rFonts w:ascii="Times New Roman" w:hAnsi="Times New Roman" w:cs="Times New Roman"/>
          <w:color w:val="000000"/>
          <w:sz w:val="28"/>
          <w:szCs w:val="28"/>
        </w:rPr>
        <w:t xml:space="preserve">3)</w:t>
      </w:r>
      <w:r>
        <w:rPr>
          <w:rFonts w:ascii="Times New Roman" w:hAnsi="Times New Roman" w:cs="Times New Roman"/>
          <w:color w:val="000000"/>
          <w:sz w:val="16"/>
          <w:szCs w:val="16"/>
        </w:rPr>
        <w:t xml:space="preserve"> </w:t>
      </w:r>
      <w:r>
        <w:rPr>
          <w:rFonts w:ascii="Times New Roman" w:hAnsi="Times New Roman" w:cs="Times New Roman"/>
          <w:sz w:val="28"/>
          <w:szCs w:val="28"/>
        </w:rPr>
        <w:t xml:space="preserve">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 в сфере благоустройства.</w:t>
      </w:r>
    </w:p>
    <w:p>
      <w:pPr>
        <w:shd w:val="clear" w:color="auto" w:fill="ffffff"/>
        <w:ind w:firstLine="709"/>
        <w:jc w:val="both"/>
        <w:rPr>
          <w:sz w:val="28"/>
          <w:szCs w:val="28"/>
        </w:rPr>
      </w:pPr>
      <w:r>
        <w:rPr>
          <w:color w:val="000000"/>
          <w:sz w:val="28"/>
          <w:szCs w:val="28"/>
        </w:rPr>
        <w:t xml:space="preserve">1.5. К</w:t>
      </w:r>
      <w:r>
        <w:rPr>
          <w:sz w:val="28"/>
          <w:szCs w:val="28"/>
        </w:rPr>
        <w:t xml:space="preserve"> объектам муниципального контроля в сфере благоустройства относятся:</w:t>
      </w:r>
    </w:p>
    <w:p>
      <w:pPr>
        <w:shd w:val="clear" w:color="auto" w:fill="ffffff"/>
        <w:ind w:firstLine="709"/>
        <w:jc w:val="both"/>
        <w:rPr>
          <w:sz w:val="28"/>
          <w:szCs w:val="28"/>
        </w:rPr>
      </w:pPr>
      <w:r>
        <w:rPr>
          <w:sz w:val="28"/>
          <w:szCs w:val="28"/>
        </w:rPr>
        <w:t xml:space="preserve">- территория Ивнянского района с расположенными на ней объектами, элементами благоустройства;</w:t>
      </w:r>
    </w:p>
    <w:p>
      <w:pPr>
        <w:shd w:val="clear" w:color="auto" w:fill="ffffff"/>
        <w:ind w:firstLine="709"/>
        <w:jc w:val="both"/>
        <w:rPr>
          <w:sz w:val="28"/>
          <w:szCs w:val="28"/>
        </w:rPr>
      </w:pPr>
      <w:r>
        <w:rPr>
          <w:sz w:val="28"/>
          <w:szCs w:val="28"/>
        </w:rPr>
        <w:t xml:space="preserve">- внешние поверхности нежилых зданий, строений, сооружений, в том числе крыши, фасады, архитектурно-декоративные детали (элементы) фасадов, входные группы, цоколи, террасы;</w:t>
      </w:r>
    </w:p>
    <w:p>
      <w:pPr>
        <w:shd w:val="clear" w:color="auto" w:fill="ffffff"/>
        <w:ind w:firstLine="709"/>
        <w:jc w:val="both"/>
        <w:rPr>
          <w:sz w:val="28"/>
          <w:szCs w:val="28"/>
        </w:rPr>
      </w:pPr>
      <w:r>
        <w:rPr>
          <w:sz w:val="28"/>
          <w:szCs w:val="28"/>
        </w:rPr>
        <w:t xml:space="preserve">-</w:t>
      </w:r>
      <w:r>
        <w:rPr>
          <w:sz w:val="16"/>
          <w:szCs w:val="16"/>
        </w:rPr>
        <w:t xml:space="preserve"> </w:t>
      </w:r>
      <w:r>
        <w:rPr>
          <w:sz w:val="28"/>
          <w:szCs w:val="28"/>
        </w:rPr>
        <w:t xml:space="preserve">деятельность по содержанию и восстановлению элементов благоустройства, в том числе после проведения земляных работ;</w:t>
      </w:r>
    </w:p>
    <w:p>
      <w:pPr>
        <w:shd w:val="clear" w:color="auto" w:fill="ffffff"/>
        <w:ind w:firstLine="709"/>
        <w:jc w:val="both"/>
        <w:rPr>
          <w:sz w:val="28"/>
          <w:szCs w:val="28"/>
        </w:rPr>
      </w:pPr>
      <w:r>
        <w:rPr>
          <w:sz w:val="28"/>
          <w:szCs w:val="28"/>
        </w:rPr>
        <w:t xml:space="preserve">- объекты освещения и иное осветительное оборудование;</w:t>
      </w:r>
    </w:p>
    <w:p>
      <w:pPr>
        <w:shd w:val="clear" w:color="auto" w:fill="ffffff"/>
        <w:ind w:firstLine="709"/>
        <w:jc w:val="both"/>
        <w:rPr>
          <w:sz w:val="28"/>
          <w:szCs w:val="28"/>
        </w:rPr>
      </w:pPr>
      <w:r>
        <w:rPr>
          <w:sz w:val="28"/>
          <w:szCs w:val="28"/>
        </w:rPr>
        <w:t xml:space="preserve">- зеленые насаждения;</w:t>
      </w:r>
    </w:p>
    <w:p>
      <w:pPr>
        <w:shd w:val="clear" w:color="auto" w:fill="ffffff"/>
        <w:ind w:firstLine="709"/>
        <w:jc w:val="both"/>
        <w:rPr>
          <w:sz w:val="28"/>
          <w:szCs w:val="28"/>
        </w:rPr>
      </w:pPr>
      <w:r>
        <w:rPr>
          <w:sz w:val="28"/>
          <w:szCs w:val="28"/>
        </w:rPr>
        <w:t xml:space="preserve">- знаково-информационные системы;</w:t>
      </w:r>
    </w:p>
    <w:p>
      <w:pPr>
        <w:shd w:val="clear" w:color="auto" w:fill="ffffff"/>
        <w:ind w:firstLine="709"/>
        <w:jc w:val="both"/>
        <w:rPr>
          <w:sz w:val="28"/>
          <w:szCs w:val="28"/>
        </w:rPr>
      </w:pPr>
      <w:r>
        <w:rPr>
          <w:sz w:val="28"/>
          <w:szCs w:val="28"/>
        </w:rPr>
        <w:t xml:space="preserve">- детские и спортивные площадки, контейнерные площадки, малые архитектурные формы;</w:t>
      </w:r>
    </w:p>
    <w:p>
      <w:pPr>
        <w:shd w:val="clear" w:color="auto" w:fill="ffffff"/>
        <w:ind w:firstLine="709"/>
        <w:jc w:val="both"/>
        <w:rPr>
          <w:sz w:val="28"/>
          <w:szCs w:val="28"/>
        </w:rPr>
      </w:pPr>
      <w:r>
        <w:rPr>
          <w:sz w:val="28"/>
          <w:szCs w:val="28"/>
        </w:rPr>
        <w:t xml:space="preserve">- пешеходные коммуникации, в том числе тротуары, аллеи, дорожки, тропинки;</w:t>
      </w:r>
    </w:p>
    <w:p>
      <w:pPr>
        <w:shd w:val="clear" w:color="auto" w:fill="ffffff"/>
        <w:ind w:firstLine="709"/>
        <w:jc w:val="both"/>
        <w:rPr>
          <w:sz w:val="28"/>
          <w:szCs w:val="28"/>
        </w:rPr>
      </w:pPr>
      <w:r>
        <w:rPr>
          <w:sz w:val="28"/>
          <w:szCs w:val="28"/>
        </w:rPr>
        <w:t xml:space="preserve">- объекты (элементы) благоустройства для беспрепятственного доступа инвалидов и иных маломобильных граждан;</w:t>
      </w:r>
    </w:p>
    <w:p>
      <w:pPr>
        <w:shd w:val="clear" w:color="auto" w:fill="ffffff"/>
        <w:ind w:firstLine="709"/>
        <w:jc w:val="both"/>
        <w:rPr>
          <w:sz w:val="28"/>
          <w:szCs w:val="28"/>
        </w:rPr>
      </w:pPr>
      <w:r>
        <w:rPr>
          <w:sz w:val="28"/>
          <w:szCs w:val="28"/>
        </w:rPr>
        <w:t xml:space="preserve">- уборка территории, в том числе в зимний период;</w:t>
      </w:r>
    </w:p>
    <w:p>
      <w:pPr>
        <w:shd w:val="clear" w:color="auto" w:fill="ffffff"/>
        <w:ind w:firstLine="709"/>
        <w:jc w:val="both"/>
        <w:rPr>
          <w:sz w:val="28"/>
          <w:szCs w:val="28"/>
        </w:rPr>
      </w:pPr>
      <w:r>
        <w:rPr>
          <w:sz w:val="28"/>
          <w:szCs w:val="28"/>
        </w:rPr>
        <w:t xml:space="preserve">- проведение земляных работ;</w:t>
      </w:r>
    </w:p>
    <w:p>
      <w:pPr>
        <w:shd w:val="clear" w:color="auto" w:fill="ffffff"/>
        <w:ind w:firstLine="709"/>
        <w:jc w:val="both"/>
        <w:rPr>
          <w:sz w:val="28"/>
          <w:szCs w:val="28"/>
        </w:rPr>
      </w:pPr>
      <w:r>
        <w:rPr>
          <w:sz w:val="28"/>
          <w:szCs w:val="28"/>
        </w:rPr>
        <w:t xml:space="preserve">- содержание прилегающих территорий;</w:t>
      </w:r>
    </w:p>
    <w:p>
      <w:pPr>
        <w:shd w:val="clear" w:color="auto" w:fill="ffffff"/>
        <w:ind w:firstLine="709"/>
        <w:jc w:val="both"/>
        <w:rPr>
          <w:sz w:val="28"/>
          <w:szCs w:val="28"/>
        </w:rPr>
      </w:pPr>
      <w:r>
        <w:rPr>
          <w:sz w:val="28"/>
          <w:szCs w:val="28"/>
        </w:rPr>
        <w:t xml:space="preserve">- некапитальные объекты, в том числе сезонные торговые;</w:t>
      </w:r>
    </w:p>
    <w:p>
      <w:pPr>
        <w:shd w:val="clear" w:color="auto" w:fill="ffffff"/>
        <w:ind w:firstLine="709"/>
        <w:jc w:val="both"/>
        <w:rPr>
          <w:sz w:val="28"/>
          <w:szCs w:val="28"/>
        </w:rPr>
      </w:pPr>
      <w:r>
        <w:rPr>
          <w:sz w:val="28"/>
          <w:szCs w:val="28"/>
        </w:rPr>
        <w:t xml:space="preserve">- инженерные коммуникации и сооружения;</w:t>
      </w:r>
    </w:p>
    <w:p>
      <w:pPr>
        <w:shd w:val="clear" w:color="auto" w:fill="ffffff"/>
        <w:ind w:firstLine="709"/>
        <w:jc w:val="both"/>
        <w:rPr>
          <w:sz w:val="28"/>
          <w:szCs w:val="28"/>
        </w:rPr>
      </w:pPr>
      <w:r>
        <w:rPr>
          <w:sz w:val="28"/>
          <w:szCs w:val="28"/>
        </w:rPr>
        <w:t xml:space="preserve">- условия к обеспечению доступности для инвалидов объектов социальной, инженерной и транспортной инфраструктур и предоставляемых услуг.</w:t>
      </w:r>
    </w:p>
    <w:p>
      <w:pPr>
        <w:tabs>
          <w:tab w:val="left" w:pos="1134"/>
        </w:tabs>
        <w:jc w:val="both"/>
        <w:rPr>
          <w:sz w:val="28"/>
          <w:szCs w:val="28"/>
        </w:rPr>
      </w:pPr>
      <w:r>
        <w:rPr>
          <w:sz w:val="28"/>
          <w:szCs w:val="28"/>
        </w:rPr>
        <w:t xml:space="preserve">          1.6.</w:t>
      </w:r>
      <w:r>
        <w:rPr>
          <w:sz w:val="28"/>
          <w:szCs w:val="28"/>
        </w:rPr>
        <w:tab/>
        <w:t xml:space="preserve">Учет объектов муниципального контроля осуществляется посредством сбора, обработки, анализа и учета информации об объектах контроля, представляемой контролируемыми лицами, информации, получаемой в рамках межведомственного взаимодействия, а также общедоступной информации. </w:t>
      </w:r>
    </w:p>
    <w:p>
      <w:pPr>
        <w:pStyle w:val="a3"/>
        <w:tabs>
          <w:tab w:val="left" w:pos="741"/>
        </w:tabs>
        <w:ind w:left="0"/>
        <w:jc w:val="both"/>
      </w:pPr>
      <w:r>
        <w:rPr>
          <w:sz w:val="28"/>
          <w:szCs w:val="28"/>
        </w:rPr>
        <w:tab/>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pPr>
        <w:pStyle w:val="a3"/>
        <w:tabs>
          <w:tab w:val="left" w:pos="1134"/>
        </w:tabs>
        <w:ind w:left="0" w:firstLine="709"/>
        <w:jc w:val="both"/>
        <w:rPr>
          <w:sz w:val="28"/>
          <w:szCs w:val="28"/>
        </w:rPr>
      </w:pPr>
      <w:r>
        <w:rPr>
          <w:sz w:val="28"/>
          <w:szCs w:val="28"/>
        </w:rPr>
        <w:t xml:space="preserve">1.7. От имени контрольного органа муниципальный контроль вправе осуществлять следующие должностные лица </w:t>
      </w:r>
      <w:r>
        <w:rPr>
          <w:color w:val="000000"/>
          <w:sz w:val="28"/>
          <w:szCs w:val="28"/>
        </w:rPr>
        <w:t xml:space="preserve">отдела архитектуры</w:t>
      </w:r>
      <w:r>
        <w:rPr>
          <w:sz w:val="28"/>
          <w:szCs w:val="28"/>
        </w:rPr>
        <w:t xml:space="preserve"> </w:t>
      </w:r>
      <w:r>
        <w:rPr>
          <w:rFonts w:eastAsia="Calibri"/>
          <w:sz w:val="28"/>
          <w:szCs w:val="28"/>
        </w:rPr>
        <w:t xml:space="preserve">администрации </w:t>
      </w:r>
      <w:r>
        <w:rPr>
          <w:sz w:val="28"/>
          <w:szCs w:val="28"/>
        </w:rPr>
        <w:t xml:space="preserve">Ивнянского района Белгородской</w:t>
      </w:r>
      <w:r>
        <w:rPr>
          <w:rFonts w:eastAsia="Calibri"/>
          <w:spacing w:val="-5"/>
          <w:sz w:val="28"/>
          <w:szCs w:val="28"/>
        </w:rPr>
        <w:t xml:space="preserve"> области (</w:t>
      </w:r>
      <w:r>
        <w:rPr>
          <w:color w:val="000000"/>
          <w:sz w:val="28"/>
          <w:szCs w:val="28"/>
        </w:rPr>
        <w:t xml:space="preserve">далее – </w:t>
      </w:r>
      <w:r>
        <w:rPr>
          <w:rFonts w:eastAsia="Calibri"/>
          <w:spacing w:val="-5"/>
          <w:sz w:val="28"/>
          <w:szCs w:val="28"/>
        </w:rPr>
        <w:t xml:space="preserve">структурного подразделения)</w:t>
      </w:r>
      <w:r>
        <w:rPr>
          <w:sz w:val="28"/>
          <w:szCs w:val="28"/>
        </w:rPr>
        <w:t xml:space="preserve">:</w:t>
      </w:r>
    </w:p>
    <w:p>
      <w:pPr>
        <w:jc w:val="both"/>
        <w:rPr>
          <w:color w:val="000000"/>
          <w:sz w:val="28"/>
          <w:szCs w:val="28"/>
        </w:rPr>
      </w:pPr>
      <w:r>
        <w:rPr>
          <w:color w:val="000000"/>
          <w:sz w:val="28"/>
          <w:szCs w:val="28"/>
        </w:rPr>
        <w:t xml:space="preserve">          1) начальник структурного подразделения уполномоченного органа;</w:t>
      </w:r>
    </w:p>
    <w:p>
      <w:pPr>
        <w:ind w:firstLine="720"/>
        <w:jc w:val="both"/>
        <w:rPr>
          <w:sz w:val="28"/>
          <w:szCs w:val="28"/>
        </w:rPr>
      </w:pPr>
      <w:r>
        <w:rPr>
          <w:color w:val="000000"/>
          <w:sz w:val="28"/>
          <w:szCs w:val="28"/>
        </w:rPr>
        <w:t xml:space="preserve">2)</w:t>
      </w:r>
      <w:r>
        <w:rPr>
          <w:color w:val="000000"/>
          <w:sz w:val="16"/>
          <w:szCs w:val="16"/>
        </w:rPr>
        <w:t xml:space="preserve"> </w:t>
      </w:r>
      <w:r>
        <w:rPr>
          <w:color w:val="000000"/>
          <w:sz w:val="28"/>
          <w:szCs w:val="28"/>
        </w:rPr>
        <w:t xml:space="preserve">главный специалист структурного подразделения уполномоченного органа (должностное лицо уполномоченного органа), к должностным обязанностям которого должностным регламентом отнесено осуществление полномочий по муниципальному контролю в сфере благоустройства (далее – инспектор).</w:t>
      </w:r>
    </w:p>
    <w:p>
      <w:pPr>
        <w:ind w:firstLine="709"/>
        <w:jc w:val="both"/>
        <w:rPr>
          <w:color w:val="000000" w:themeColor="text1"/>
          <w:sz w:val="28"/>
          <w:szCs w:val="28"/>
        </w:rPr>
      </w:pPr>
      <w:r>
        <w:rPr>
          <w:sz w:val="28"/>
          <w:szCs w:val="28"/>
        </w:rPr>
        <w:t xml:space="preserve"> 1.8.</w:t>
      </w:r>
      <w:r>
        <w:rPr>
          <w:sz w:val="28"/>
          <w:szCs w:val="28"/>
        </w:rPr>
        <w:tab/>
        <w:t xml:space="preserve">Принятие решений о проведении контрольных мероприятий осуществляет глава администрации (первый заместитель главы администрации Ивнянского района по экономическому развитию) или</w:t>
      </w:r>
      <w:r>
        <w:rPr>
          <w:color w:val="000000" w:themeColor="text1"/>
          <w:sz w:val="28"/>
          <w:szCs w:val="28"/>
        </w:rPr>
        <w:t xml:space="preserve"> лицо, исполняющее его обязанности, либо должностное лицо, уполномоченное принимать указанные решения (далее – уполномоченные должностные лица контрольного органа). </w:t>
      </w:r>
    </w:p>
    <w:p>
      <w:pPr>
        <w:pStyle w:val="a3"/>
        <w:tabs>
          <w:tab w:val="left" w:pos="1134"/>
        </w:tabs>
        <w:ind w:left="0" w:firstLine="851"/>
        <w:jc w:val="both"/>
        <w:rPr>
          <w:sz w:val="28"/>
          <w:szCs w:val="28"/>
        </w:rPr>
      </w:pPr>
      <w:r>
        <w:rPr>
          <w:sz w:val="28"/>
          <w:szCs w:val="28"/>
        </w:rPr>
        <w:t xml:space="preserve">1.9. Инспектор, при осуществлении муниципального контроля, имеет права, обязанности и несет ответственность в соответствии с Федеральным законом от 31.07.2020 № 248-ФЗ «О государственном контроле (надзоре)                </w:t>
      </w:r>
      <w:r>
        <w:rPr>
          <w:sz w:val="28"/>
          <w:szCs w:val="28"/>
        </w:rPr>
        <w:t xml:space="preserve">и муниципальном контроле в Российской Федерации» (далее - Федеральный закон № 248-ФЗ).</w:t>
      </w:r>
    </w:p>
    <w:p>
      <w:pPr>
        <w:pStyle w:val="a3"/>
        <w:tabs>
          <w:tab w:val="left" w:pos="1134"/>
        </w:tabs>
        <w:ind w:left="0" w:firstLine="709"/>
        <w:jc w:val="both"/>
      </w:pPr>
      <w:r>
        <w:rPr>
          <w:sz w:val="28"/>
          <w:szCs w:val="28"/>
        </w:rPr>
        <w:t xml:space="preserve"> 1.10. </w:t>
      </w:r>
      <w:r>
        <w:rPr>
          <w:rFonts w:eastAsia="Calibri"/>
          <w:sz w:val="28"/>
          <w:szCs w:val="28"/>
        </w:rPr>
        <w:t xml:space="preserve">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r:id="rId15" w:tooltip="consultantplus://offline/ref=1D4E32A31A176726FF77A9EFC32AC1AADF1A11E10915B9C2EAEB08B6420BA89D40859BD429157DACE57252E5F3UAyEH" w:history="1">
        <w:r>
          <w:rPr>
            <w:rStyle w:val="-"/>
            <w:rFonts w:eastAsia="Calibri"/>
            <w:color w:val="000000"/>
            <w:sz w:val="28"/>
            <w:szCs w:val="28"/>
            <w:u w:val="none"/>
          </w:rPr>
          <w:t xml:space="preserve">закона</w:t>
        </w:r>
      </w:hyperlink>
      <w:r>
        <w:rPr>
          <w:rFonts w:eastAsia="Calibri"/>
          <w:sz w:val="28"/>
          <w:szCs w:val="28"/>
        </w:rPr>
        <w:t xml:space="preserve"> </w:t>
      </w:r>
      <w:r>
        <w:rPr>
          <w:rFonts w:eastAsia="Calibri"/>
          <w:sz w:val="28"/>
          <w:szCs w:val="28"/>
        </w:rPr>
        <w:br/>
        <w:t xml:space="preserve">№ 248-ФЗ.</w:t>
      </w:r>
    </w:p>
    <w:p>
      <w:pPr>
        <w:pStyle w:val="a3"/>
        <w:ind w:left="0"/>
        <w:jc w:val="both"/>
        <w:rPr>
          <w:color w:val="000000" w:themeColor="text1"/>
          <w:sz w:val="28"/>
          <w:szCs w:val="28"/>
        </w:rPr>
      </w:pPr>
      <w:r>
        <w:rPr>
          <w:sz w:val="28"/>
          <w:szCs w:val="28"/>
        </w:rPr>
        <w:tab/>
      </w:r>
      <w:r>
        <w:rPr>
          <w:color w:val="000000" w:themeColor="text1"/>
          <w:sz w:val="28"/>
          <w:szCs w:val="28"/>
        </w:rPr>
        <w:t xml:space="preserve">1.11. В целях, связанных с осуществлением муниципального контроля, контрольный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pPr>
        <w:pStyle w:val="a3"/>
        <w:ind w:left="0"/>
        <w:jc w:val="both"/>
        <w:rPr>
          <w:color w:val="000000" w:themeColor="text1"/>
        </w:rPr>
      </w:pPr>
      <w:r>
        <w:rPr>
          <w:color w:val="000000" w:themeColor="text1"/>
          <w:sz w:val="28"/>
          <w:szCs w:val="28"/>
        </w:rPr>
        <w:tab/>
        <w:t xml:space="preserve">1.12.</w:t>
      </w:r>
      <w:r>
        <w:rPr>
          <w:color w:val="000000" w:themeColor="text1"/>
          <w:sz w:val="28"/>
          <w:szCs w:val="28"/>
        </w:rPr>
        <w:tab/>
        <w:t xml:space="preserve">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w:t>
      </w:r>
      <w:hyperlink r:id="rId16" w:tooltip="https://docs.cntd.ru/document/565415215#64U0IK" w:anchor="64U0IK" w:history="1">
        <w:r>
          <w:rPr>
            <w:rStyle w:val="-"/>
            <w:color w:val="000000" w:themeColor="text1"/>
            <w:sz w:val="28"/>
            <w:szCs w:val="28"/>
            <w:u w:val="none"/>
          </w:rPr>
          <w:t xml:space="preserve">Федеральным законом </w:t>
        </w:r>
      </w:hyperlink>
      <w:r>
        <w:rPr>
          <w:color w:val="000000" w:themeColor="text1"/>
          <w:sz w:val="28"/>
          <w:szCs w:val="28"/>
        </w:rPr>
        <w:t xml:space="preserve">№248-ФЗ, осуществляются с учетом требований законодательства Российской Федерации о государственной и иной охраняемой законом тайне. </w:t>
      </w:r>
    </w:p>
    <w:p>
      <w:pPr>
        <w:pStyle w:val="a3"/>
        <w:tabs>
          <w:tab w:val="left" w:pos="709"/>
        </w:tabs>
        <w:ind w:left="0"/>
        <w:jc w:val="both"/>
        <w:rPr>
          <w:color w:val="000000" w:themeColor="text1"/>
          <w:sz w:val="28"/>
          <w:szCs w:val="28"/>
        </w:rPr>
      </w:pPr>
      <w:r>
        <w:rPr>
          <w:color w:val="000000" w:themeColor="text1"/>
          <w:sz w:val="28"/>
          <w:szCs w:val="28"/>
        </w:rPr>
        <w:tab/>
        <w:t xml:space="preserve">1.13.</w:t>
      </w:r>
      <w:r>
        <w:rPr>
          <w:color w:val="000000" w:themeColor="text1"/>
          <w:sz w:val="28"/>
          <w:szCs w:val="28"/>
        </w:rPr>
        <w:tab/>
        <w:t xml:space="preserve">Оц</w:t>
      </w:r>
      <w:r>
        <w:rPr>
          <w:color w:val="000000"/>
          <w:sz w:val="28"/>
          <w:szCs w:val="28"/>
        </w:rPr>
        <w:t xml:space="preserve">енка результативности и эффективности деятельности контрольного органа осуществляется </w:t>
      </w:r>
      <w:r>
        <w:rPr>
          <w:color w:val="000000"/>
          <w:sz w:val="30"/>
          <w:highlight w:val="white"/>
        </w:rPr>
        <w:t xml:space="preserve">на основе системы показателей результативности и эффективности государственного контроля (надзора), муниципального контроля в соответствии со </w:t>
      </w:r>
      <w:r>
        <w:rPr>
          <w:color w:val="000000"/>
          <w:sz w:val="28"/>
          <w:szCs w:val="28"/>
        </w:rPr>
        <w:t xml:space="preserve">статьёй 30 Федерального закона от 31 июля 2020 года № 248-ФЗ «О государственном контроле (надзоре) и муниципальном контроле в Российской Федерации». </w:t>
      </w:r>
    </w:p>
    <w:p>
      <w:pPr>
        <w:pStyle w:val="a3"/>
        <w:ind w:left="0"/>
        <w:jc w:val="both"/>
        <w:rPr>
          <w:color w:val="000000" w:themeColor="text1"/>
          <w:sz w:val="28"/>
          <w:szCs w:val="28"/>
        </w:rPr>
      </w:pPr>
      <w:r>
        <w:rPr>
          <w:color w:val="000000"/>
          <w:sz w:val="28"/>
          <w:szCs w:val="28"/>
        </w:rPr>
        <w:tab/>
        <w:t xml:space="preserve">Ключевые показатели вида контроля и их целевые значения, индикативные показатели, применяемые при осуществлении муниципального контроля в сфере благоустройства утверждаются </w:t>
      </w:r>
      <w:r>
        <w:rPr>
          <w:bCs/>
          <w:color w:val="000000"/>
          <w:sz w:val="28"/>
          <w:szCs w:val="28"/>
        </w:rPr>
        <w:t xml:space="preserve">Муниципальным советом муниципального района «Ивнянский район».</w:t>
      </w:r>
    </w:p>
    <w:p>
      <w:pPr>
        <w:ind w:firstLine="680"/>
        <w:jc w:val="center"/>
        <w:outlineLvl w:val="0"/>
        <w:rPr>
          <w:b/>
          <w:sz w:val="28"/>
          <w:szCs w:val="28"/>
        </w:rPr>
      </w:pPr>
    </w:p>
    <w:p>
      <w:pPr>
        <w:ind w:firstLine="680"/>
        <w:jc w:val="center"/>
        <w:outlineLvl w:val="0"/>
        <w:rPr>
          <w:sz w:val="28"/>
          <w:szCs w:val="28"/>
        </w:rPr>
      </w:pPr>
      <w:r>
        <w:rPr>
          <w:b/>
          <w:sz w:val="28"/>
          <w:szCs w:val="28"/>
        </w:rPr>
        <w:t xml:space="preserve">2. Управление рисками причинения вреда (ущерба) охраняемым</w:t>
      </w:r>
    </w:p>
    <w:p>
      <w:pPr>
        <w:ind w:firstLine="680"/>
        <w:jc w:val="center"/>
      </w:pPr>
      <w:r>
        <w:rPr>
          <w:b/>
          <w:sz w:val="28"/>
          <w:szCs w:val="28"/>
        </w:rPr>
        <w:t xml:space="preserve">законом ценностям при осуществлении муниципального контроля </w:t>
      </w:r>
    </w:p>
    <w:p>
      <w:pPr>
        <w:jc w:val="both"/>
      </w:pPr>
    </w:p>
    <w:p>
      <w:pPr>
        <w:jc w:val="both"/>
        <w:rPr>
          <w:color w:val="000000" w:themeColor="text1"/>
        </w:rPr>
      </w:pPr>
      <w:r>
        <w:rPr>
          <w:color w:val="ff3333"/>
          <w:sz w:val="28"/>
          <w:szCs w:val="28"/>
        </w:rPr>
        <w:tab/>
      </w:r>
      <w:r>
        <w:rPr>
          <w:color w:val="000000" w:themeColor="text1"/>
          <w:sz w:val="28"/>
          <w:szCs w:val="28"/>
        </w:rPr>
        <w:t xml:space="preserve">2.1. Муниципальный</w:t>
      </w:r>
      <w:r>
        <w:rPr>
          <w:rFonts w:eastAsia="Calibri"/>
          <w:color w:val="000000" w:themeColor="text1"/>
          <w:sz w:val="28"/>
          <w:szCs w:val="28"/>
          <w:lang w:eastAsia="en-US"/>
        </w:rPr>
        <w:t xml:space="preserve">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pPr>
        <w:jc w:val="both"/>
        <w:rPr>
          <w:color w:val="000000" w:themeColor="text1"/>
        </w:rPr>
      </w:pPr>
      <w:r>
        <w:rPr>
          <w:rFonts w:eastAsia="Calibri"/>
          <w:color w:val="ff3333"/>
          <w:sz w:val="28"/>
          <w:szCs w:val="28"/>
          <w:lang w:eastAsia="en-US"/>
        </w:rPr>
        <w:tab/>
      </w:r>
      <w:r>
        <w:rPr>
          <w:rFonts w:eastAsia="Calibri"/>
          <w:color w:val="000000" w:themeColor="text1"/>
          <w:sz w:val="28"/>
          <w:szCs w:val="28"/>
          <w:lang w:eastAsia="en-US"/>
        </w:rPr>
        <w:t xml:space="preserve">2.2.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орган применяет индикаторы риска нарушения обязательных требований.</w:t>
      </w:r>
    </w:p>
    <w:p>
      <w:pPr>
        <w:jc w:val="both"/>
        <w:rPr>
          <w:rFonts w:eastAsia="Calibri"/>
          <w:color w:val="000000" w:themeColor="text1"/>
          <w:sz w:val="28"/>
          <w:szCs w:val="28"/>
          <w:lang w:eastAsia="en-US"/>
        </w:rPr>
      </w:pPr>
      <w:r>
        <w:rPr>
          <w:rFonts w:eastAsia="Calibri"/>
          <w:color w:val="ff3333"/>
          <w:sz w:val="28"/>
          <w:szCs w:val="28"/>
          <w:lang w:eastAsia="en-US"/>
        </w:rPr>
        <w:tab/>
      </w:r>
      <w:r>
        <w:rPr>
          <w:rFonts w:eastAsia="Calibri"/>
          <w:color w:val="000000" w:themeColor="text1"/>
          <w:sz w:val="28"/>
          <w:szCs w:val="28"/>
          <w:lang w:eastAsia="en-US"/>
        </w:rPr>
        <w:t xml:space="preserve">Перечень индикаторов риска по муниципальному контролю утверждается Муниципальным советом Ивнянского района.</w:t>
      </w:r>
    </w:p>
    <w:p>
      <w:pPr>
        <w:ind w:firstLine="720"/>
        <w:jc w:val="both"/>
        <w:rPr>
          <w:sz w:val="28"/>
          <w:szCs w:val="28"/>
        </w:rPr>
      </w:pPr>
      <w:r>
        <w:rPr>
          <w:color w:val="000000"/>
          <w:sz w:val="28"/>
          <w:szCs w:val="28"/>
        </w:rPr>
        <w:t xml:space="preserve">Индикаторы риска нарушения обязательных требований указаны                      в приложении № 1 к настоящему Положению.</w:t>
      </w:r>
      <w:r>
        <w:rPr>
          <w:rFonts w:eastAsia="Calibri"/>
          <w:color w:val="000000" w:themeColor="text1"/>
          <w:sz w:val="28"/>
          <w:szCs w:val="28"/>
          <w:lang w:eastAsia="en-US"/>
        </w:rPr>
        <w:t xml:space="preserve"> </w:t>
      </w:r>
    </w:p>
    <w:p>
      <w:pPr>
        <w:jc w:val="both"/>
        <w:rPr>
          <w:color w:val="000000" w:themeColor="text1"/>
        </w:rPr>
      </w:pPr>
      <w:r>
        <w:rPr>
          <w:color w:val="ff3333"/>
          <w:sz w:val="28"/>
          <w:szCs w:val="28"/>
        </w:rPr>
        <w:tab/>
      </w:r>
      <w:r>
        <w:rPr>
          <w:color w:val="000000" w:themeColor="text1"/>
          <w:sz w:val="28"/>
          <w:szCs w:val="28"/>
        </w:rPr>
        <w:t xml:space="preserve">2.3.  Контрольный орган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p>
    <w:p>
      <w:pPr>
        <w:jc w:val="both"/>
        <w:rPr>
          <w:color w:val="000000" w:themeColor="text1"/>
          <w:sz w:val="28"/>
          <w:szCs w:val="28"/>
        </w:rPr>
      </w:pPr>
      <w:r>
        <w:rPr>
          <w:color w:val="000000" w:themeColor="text1"/>
          <w:sz w:val="28"/>
          <w:szCs w:val="28"/>
        </w:rPr>
        <w:tab/>
        <w:t xml:space="preserve">1) средний риск;</w:t>
      </w:r>
    </w:p>
    <w:p>
      <w:pPr>
        <w:jc w:val="both"/>
        <w:rPr>
          <w:color w:val="000000" w:themeColor="text1"/>
          <w:sz w:val="28"/>
          <w:szCs w:val="28"/>
        </w:rPr>
      </w:pPr>
      <w:r>
        <w:rPr>
          <w:color w:val="000000" w:themeColor="text1"/>
          <w:sz w:val="28"/>
          <w:szCs w:val="28"/>
        </w:rPr>
        <w:tab/>
        <w:t xml:space="preserve">2) умеренный риск;</w:t>
      </w:r>
    </w:p>
    <w:p>
      <w:pPr>
        <w:jc w:val="both"/>
        <w:rPr>
          <w:color w:val="000000" w:themeColor="text1"/>
          <w:sz w:val="28"/>
          <w:szCs w:val="28"/>
        </w:rPr>
      </w:pPr>
      <w:r>
        <w:rPr>
          <w:color w:val="000000" w:themeColor="text1"/>
          <w:sz w:val="28"/>
          <w:szCs w:val="28"/>
        </w:rPr>
        <w:tab/>
        <w:t xml:space="preserve">3) низкий риск.</w:t>
      </w:r>
    </w:p>
    <w:p>
      <w:pPr>
        <w:jc w:val="both"/>
        <w:rPr>
          <w:color w:val="ff3333"/>
          <w:sz w:val="28"/>
          <w:szCs w:val="28"/>
        </w:rPr>
      </w:pPr>
      <w:r>
        <w:rPr>
          <w:color w:val="ff3333"/>
          <w:sz w:val="28"/>
          <w:szCs w:val="28"/>
        </w:rPr>
        <w:tab/>
      </w:r>
      <w:r>
        <w:rPr>
          <w:color w:val="000000" w:themeColor="text1"/>
          <w:sz w:val="28"/>
          <w:szCs w:val="28"/>
        </w:rPr>
        <w:t xml:space="preserve">2.4. </w:t>
      </w:r>
      <w:r>
        <w:rPr>
          <w:color w:val="000000"/>
          <w:sz w:val="28"/>
          <w:szCs w:val="28"/>
        </w:rPr>
        <w:t xml:space="preserve">Критерием отнесения объектов муниципального контроля в сфере благоустройства к категории среднего риска является:</w:t>
      </w:r>
    </w:p>
    <w:p>
      <w:pPr>
        <w:keepLines/>
        <w:pBdr>
          <w:top w:val="none" w:color="000000" w:sz="4" w:space="0"/>
          <w:left w:val="none" w:color="000000" w:sz="4" w:space="0"/>
          <w:bottom w:val="none" w:color="000000" w:sz="4" w:space="0"/>
          <w:right w:val="none" w:color="000000" w:sz="4" w:space="0"/>
        </w:pBdr>
        <w:shd w:val="clear" w:color="ffffff" w:fill="ffffff"/>
        <w:spacing w:before="150" w:after="150"/>
        <w:ind w:firstLine="709"/>
        <w:contextualSpacing/>
        <w:jc w:val="both"/>
        <w:rPr>
          <w:sz w:val="28"/>
          <w:szCs w:val="28"/>
        </w:rPr>
      </w:pPr>
      <w:r>
        <w:rPr>
          <w:color w:val="000000"/>
          <w:sz w:val="28"/>
          <w:szCs w:val="28"/>
        </w:rPr>
        <w:t xml:space="preserve">1) Наличие на объекте контроля в течение предшествующего года нарушений следующих обязательных требований в сфере благоустройства муниципального образования:</w:t>
      </w:r>
    </w:p>
    <w:p>
      <w:pPr>
        <w:keepLines/>
        <w:pBdr>
          <w:top w:val="none" w:color="000000" w:sz="4" w:space="0"/>
          <w:left w:val="none" w:color="000000" w:sz="4" w:space="0"/>
          <w:bottom w:val="none" w:color="000000" w:sz="4" w:space="0"/>
          <w:right w:val="none" w:color="000000" w:sz="4" w:space="0"/>
        </w:pBdr>
        <w:shd w:val="clear" w:color="ffffff" w:fill="ffffff"/>
        <w:spacing w:before="150" w:after="150"/>
        <w:ind w:firstLine="709"/>
        <w:contextualSpacing/>
        <w:jc w:val="both"/>
        <w:rPr>
          <w:sz w:val="28"/>
          <w:szCs w:val="28"/>
        </w:rPr>
      </w:pPr>
      <w:r>
        <w:rPr>
          <w:color w:val="000000"/>
          <w:sz w:val="28"/>
          <w:szCs w:val="28"/>
        </w:rPr>
        <w:t xml:space="preserve">- нарушений в содержании и (или) проведении работ по  благоустройству объектов (элементов) благоустройства в части отсутствия ограждений                  или перекрытий или проезжей части в местах разрытия или иных опасных местах;</w:t>
      </w:r>
    </w:p>
    <w:p>
      <w:pPr>
        <w:keepLines/>
        <w:pBdr>
          <w:top w:val="none" w:color="000000" w:sz="4" w:space="0"/>
          <w:left w:val="none" w:color="000000" w:sz="4" w:space="0"/>
          <w:bottom w:val="none" w:color="000000" w:sz="4" w:space="0"/>
          <w:right w:val="none" w:color="000000" w:sz="4" w:space="0"/>
        </w:pBdr>
        <w:shd w:val="clear" w:color="ffffff" w:fill="ffffff"/>
        <w:spacing w:before="150" w:after="150"/>
        <w:ind w:firstLine="708"/>
        <w:contextualSpacing/>
        <w:jc w:val="both"/>
        <w:rPr>
          <w:sz w:val="28"/>
          <w:szCs w:val="28"/>
        </w:rPr>
      </w:pPr>
      <w:r>
        <w:rPr>
          <w:color w:val="000000"/>
          <w:sz w:val="28"/>
          <w:szCs w:val="28"/>
        </w:rPr>
        <w:t xml:space="preserve">- нарушений по текущему ремонту, санитарному и техническому содержанию внутридомовых спортивных площадок, несоблюдение норм безопасности при эксплуатации оборудования спортивных площадок;</w:t>
      </w:r>
    </w:p>
    <w:p>
      <w:pPr>
        <w:keepLines/>
        <w:pBdr>
          <w:top w:val="none" w:color="000000" w:sz="4" w:space="0"/>
          <w:left w:val="none" w:color="000000" w:sz="4" w:space="0"/>
          <w:bottom w:val="none" w:color="000000" w:sz="4" w:space="0"/>
          <w:right w:val="none" w:color="000000" w:sz="4" w:space="0"/>
        </w:pBdr>
        <w:shd w:val="clear" w:color="ffffff" w:fill="ffffff"/>
        <w:spacing w:before="150" w:after="150"/>
        <w:ind w:firstLine="708"/>
        <w:contextualSpacing/>
        <w:jc w:val="both"/>
        <w:rPr>
          <w:sz w:val="28"/>
          <w:szCs w:val="28"/>
        </w:rPr>
      </w:pPr>
      <w:r>
        <w:rPr>
          <w:color w:val="000000"/>
          <w:sz w:val="28"/>
          <w:szCs w:val="28"/>
        </w:rPr>
        <w:t xml:space="preserve">- нарушений требований безопасности при монтаже и эксплуатации оборудования детских игровых площадок, в том числе отсутствие необходимой документации на оборудование, несоблюдение норм безопасности при монтаже оборудования, не проведение периодических осмотров и технического обслуживания оборудования и его элементов в установленные сроки, невыполнение нормативов по информационному обеспечению безопасности при монтаже и эксплуатации оборудования детских игровых площадок;</w:t>
      </w:r>
    </w:p>
    <w:p>
      <w:pPr>
        <w:keepLines/>
        <w:pBdr>
          <w:top w:val="none" w:color="000000" w:sz="4" w:space="0"/>
          <w:left w:val="none" w:color="000000" w:sz="4" w:space="0"/>
          <w:bottom w:val="none" w:color="000000" w:sz="4" w:space="0"/>
          <w:right w:val="none" w:color="000000" w:sz="4" w:space="0"/>
        </w:pBdr>
        <w:shd w:val="clear" w:color="ffffff" w:fill="ffffff"/>
        <w:spacing w:before="150" w:after="150"/>
        <w:ind w:firstLine="708"/>
        <w:contextualSpacing/>
        <w:jc w:val="both"/>
        <w:rPr>
          <w:sz w:val="28"/>
          <w:szCs w:val="28"/>
        </w:rPr>
      </w:pPr>
      <w:r>
        <w:rPr>
          <w:color w:val="000000"/>
          <w:sz w:val="28"/>
          <w:szCs w:val="28"/>
        </w:rPr>
        <w:t xml:space="preserve">- производство земляных работ и работ по организации площадок              для проведения отдельных работ в сфере благоустройства                                       без соответствующего ордера или после окончания срока его действия, самовольное строительство, снос, реконструкция или капитальный ремонт зданий, сооружений и коммуникаций, а также нарушение сроков выполнения работ в соответствии с ордером;</w:t>
      </w:r>
    </w:p>
    <w:p>
      <w:pPr>
        <w:keepLines/>
        <w:pBdr>
          <w:top w:val="none" w:color="000000" w:sz="4" w:space="0"/>
          <w:left w:val="none" w:color="000000" w:sz="4" w:space="0"/>
          <w:bottom w:val="none" w:color="000000" w:sz="4" w:space="0"/>
          <w:right w:val="none" w:color="000000" w:sz="4" w:space="0"/>
        </w:pBdr>
        <w:shd w:val="clear" w:color="ffffff" w:fill="ffffff"/>
        <w:spacing w:before="150" w:after="150"/>
        <w:ind w:firstLine="708"/>
        <w:contextualSpacing/>
        <w:jc w:val="both"/>
        <w:rPr>
          <w:sz w:val="28"/>
          <w:szCs w:val="28"/>
        </w:rPr>
      </w:pPr>
      <w:r>
        <w:rPr>
          <w:color w:val="000000"/>
          <w:sz w:val="28"/>
          <w:szCs w:val="28"/>
        </w:rPr>
        <w:t xml:space="preserve">- отсутствие в административно-деловых и торговых центрах (комплексах) площадью более 300 кв.м. пандусов и (или) приспособлений, необходимых для обеспечения беспрепятственного доступа к указанным объектам людей с инвалидностью и других маломобильных групп населения.</w:t>
      </w:r>
    </w:p>
    <w:p>
      <w:pPr>
        <w:keepLines/>
        <w:pBdr>
          <w:top w:val="none" w:color="000000" w:sz="4" w:space="0"/>
          <w:left w:val="none" w:color="000000" w:sz="4" w:space="0"/>
          <w:bottom w:val="none" w:color="000000" w:sz="4" w:space="0"/>
          <w:right w:val="none" w:color="000000" w:sz="4" w:space="0"/>
        </w:pBdr>
        <w:shd w:val="clear" w:color="ffffff" w:fill="ffffff"/>
        <w:spacing w:before="150" w:after="150"/>
        <w:ind w:firstLine="708"/>
        <w:contextualSpacing/>
        <w:jc w:val="both"/>
        <w:rPr>
          <w:sz w:val="28"/>
          <w:szCs w:val="28"/>
        </w:rPr>
      </w:pPr>
      <w:r>
        <w:rPr>
          <w:color w:val="000000"/>
          <w:sz w:val="28"/>
          <w:szCs w:val="28"/>
        </w:rPr>
        <w:t xml:space="preserve">Критерием отнесения объектов контроля к категории умеренного риска</w:t>
      </w:r>
      <w:r>
        <w:rPr>
          <w:b/>
          <w:color w:val="000000"/>
          <w:sz w:val="28"/>
          <w:szCs w:val="28"/>
        </w:rPr>
        <w:t xml:space="preserve"> </w:t>
      </w:r>
      <w:r>
        <w:rPr>
          <w:color w:val="000000"/>
          <w:sz w:val="28"/>
          <w:szCs w:val="28"/>
        </w:rPr>
        <w:t xml:space="preserve">относятся:</w:t>
      </w:r>
    </w:p>
    <w:p>
      <w:pPr>
        <w:keepLines/>
        <w:pBdr>
          <w:top w:val="none" w:color="000000" w:sz="4" w:space="0"/>
          <w:left w:val="none" w:color="000000" w:sz="4" w:space="0"/>
          <w:bottom w:val="none" w:color="000000" w:sz="4" w:space="0"/>
          <w:right w:val="none" w:color="000000" w:sz="4" w:space="0"/>
        </w:pBdr>
        <w:shd w:val="clear" w:color="ffffff" w:fill="ffffff"/>
        <w:spacing w:before="150" w:after="150"/>
        <w:ind w:firstLine="708"/>
        <w:contextualSpacing/>
        <w:jc w:val="both"/>
        <w:rPr>
          <w:color w:val="000000"/>
          <w:sz w:val="28"/>
          <w:szCs w:val="28"/>
        </w:rPr>
      </w:pPr>
      <w:r>
        <w:rPr>
          <w:color w:val="000000"/>
          <w:sz w:val="28"/>
          <w:szCs w:val="28"/>
        </w:rPr>
        <w:t xml:space="preserve">- нарушение внешнего вида и содержания зданий, ограждений, строений, сооружений, водоемов и элементов оборудования объектов благоустройства,     в том числе малых архитектурных форм, садово-парковой мебели, контейнеров, урн;</w:t>
      </w:r>
    </w:p>
    <w:p>
      <w:pPr>
        <w:keepLines/>
        <w:pBdr>
          <w:top w:val="none" w:color="000000" w:sz="4" w:space="0"/>
          <w:left w:val="none" w:color="000000" w:sz="4" w:space="0"/>
          <w:bottom w:val="none" w:color="000000" w:sz="4" w:space="0"/>
          <w:right w:val="none" w:color="000000" w:sz="4" w:space="0"/>
        </w:pBdr>
        <w:shd w:val="clear" w:color="ffffff" w:fill="ffffff"/>
        <w:spacing w:before="150" w:after="150"/>
        <w:ind w:firstLine="708"/>
        <w:contextualSpacing/>
        <w:jc w:val="both"/>
        <w:rPr>
          <w:sz w:val="28"/>
          <w:szCs w:val="28"/>
        </w:rPr>
      </w:pPr>
      <w:r>
        <w:rPr>
          <w:color w:val="000000"/>
          <w:sz w:val="28"/>
          <w:szCs w:val="28"/>
        </w:rPr>
        <w:t xml:space="preserve">- самовольная установка (размещение) контейнеров, гаражей, строительной и дорожной техники, объектов мелкорозничной торговли                 и оказания услуг населению, складских помещений, бытовок и иных объектов, не являющихся объектами капительного строительства;</w:t>
      </w:r>
    </w:p>
    <w:p>
      <w:pPr>
        <w:keepLines/>
        <w:pBdr>
          <w:top w:val="none" w:color="000000" w:sz="4" w:space="0"/>
          <w:left w:val="none" w:color="000000" w:sz="4" w:space="0"/>
          <w:bottom w:val="none" w:color="000000" w:sz="4" w:space="0"/>
          <w:right w:val="none" w:color="000000" w:sz="4" w:space="0"/>
        </w:pBdr>
        <w:shd w:val="clear" w:color="ffffff" w:fill="ffffff"/>
        <w:spacing w:before="150" w:after="150"/>
        <w:ind w:firstLine="708"/>
        <w:contextualSpacing/>
        <w:jc w:val="both"/>
        <w:rPr>
          <w:sz w:val="28"/>
          <w:szCs w:val="28"/>
        </w:rPr>
      </w:pPr>
      <w:r>
        <w:rPr>
          <w:color w:val="000000"/>
          <w:sz w:val="28"/>
          <w:szCs w:val="28"/>
        </w:rPr>
        <w:t xml:space="preserve">- нарушения установленных правил содержания и эксплуатации устройств наружного освещения и контактной сети территории муниципального образования;</w:t>
      </w:r>
    </w:p>
    <w:p>
      <w:pPr>
        <w:keepLines/>
        <w:pBdr>
          <w:top w:val="none" w:color="000000" w:sz="4" w:space="0"/>
          <w:left w:val="none" w:color="000000" w:sz="4" w:space="0"/>
          <w:bottom w:val="none" w:color="000000" w:sz="4" w:space="0"/>
          <w:right w:val="none" w:color="000000" w:sz="4" w:space="0"/>
        </w:pBdr>
        <w:shd w:val="clear" w:color="ffffff" w:fill="ffffff"/>
        <w:spacing w:before="150" w:after="150"/>
        <w:ind w:firstLine="708"/>
        <w:contextualSpacing/>
        <w:jc w:val="both"/>
        <w:rPr>
          <w:sz w:val="28"/>
          <w:szCs w:val="28"/>
        </w:rPr>
      </w:pPr>
      <w:r>
        <w:rPr>
          <w:color w:val="000000"/>
          <w:sz w:val="28"/>
          <w:szCs w:val="28"/>
        </w:rPr>
        <w:t xml:space="preserve">- нарушение установленных требований по внешнему виду и содержанию объектов праздничного и тематического оформления, рекламных                          и информационных конструкций;</w:t>
      </w:r>
    </w:p>
    <w:p>
      <w:pPr>
        <w:keepLines/>
        <w:pBdr>
          <w:top w:val="none" w:color="000000" w:sz="4" w:space="0"/>
          <w:left w:val="none" w:color="000000" w:sz="4" w:space="0"/>
          <w:bottom w:val="none" w:color="000000" w:sz="4" w:space="0"/>
          <w:right w:val="none" w:color="000000" w:sz="4" w:space="0"/>
        </w:pBdr>
        <w:shd w:val="clear" w:color="ffffff" w:fill="ffffff"/>
        <w:spacing w:before="150" w:after="150"/>
        <w:ind w:firstLine="708"/>
        <w:contextualSpacing/>
        <w:jc w:val="both"/>
        <w:rPr>
          <w:sz w:val="28"/>
          <w:szCs w:val="28"/>
        </w:rPr>
      </w:pPr>
      <w:r>
        <w:rPr>
          <w:color w:val="000000"/>
          <w:sz w:val="28"/>
          <w:szCs w:val="28"/>
        </w:rPr>
        <w:t xml:space="preserve">- загрязнение территории муниципального образования, связанное                   с эксплуатацией и ремонтом транспортных средств, мойка транспортных средств вне специально отведенных мест, стоянка на проезжей части дворовых территорий, препятствующая механизированной уборке и вывозу бытовых отходов, а также размещение разукомплектованных транспортных средств независимо от места их расположения, кроме специально отведенных для этого мест; размещение транспортных средств на детских площадках;</w:t>
      </w:r>
    </w:p>
    <w:p>
      <w:pPr>
        <w:keepLines/>
        <w:pBdr>
          <w:top w:val="none" w:color="000000" w:sz="4" w:space="0"/>
          <w:left w:val="none" w:color="000000" w:sz="4" w:space="0"/>
          <w:bottom w:val="none" w:color="000000" w:sz="4" w:space="0"/>
          <w:right w:val="none" w:color="000000" w:sz="4" w:space="0"/>
        </w:pBdr>
        <w:shd w:val="clear" w:color="ffffff" w:fill="ffffff"/>
        <w:spacing w:before="150" w:after="150"/>
        <w:ind w:firstLine="708"/>
        <w:contextualSpacing/>
        <w:jc w:val="both"/>
        <w:rPr>
          <w:sz w:val="28"/>
          <w:szCs w:val="28"/>
        </w:rPr>
      </w:pPr>
      <w:r>
        <w:rPr>
          <w:color w:val="000000"/>
          <w:sz w:val="28"/>
          <w:szCs w:val="28"/>
        </w:rPr>
        <w:t xml:space="preserve">- отсутствие в административно-деловых и торговых центрах (комплексах), зданиях, предназначенных для использования или фактически используемых в целях делового, административного или коммерческого назначения, площадью менее 300 кв.м., объектах социальной инфраструктуры пандусов и (или) приспособлений, необходимых для обеспечения беспрепятственного доступа к указанным объектам людей с инвалидностью             и других маломобильных групп населения;</w:t>
      </w:r>
    </w:p>
    <w:p>
      <w:pPr>
        <w:keepLines/>
        <w:pBdr>
          <w:top w:val="none" w:color="000000" w:sz="4" w:space="0"/>
          <w:left w:val="none" w:color="000000" w:sz="4" w:space="0"/>
          <w:bottom w:val="none" w:color="000000" w:sz="4" w:space="0"/>
          <w:right w:val="none" w:color="000000" w:sz="4" w:space="0"/>
        </w:pBdr>
        <w:shd w:val="clear" w:color="ffffff" w:fill="ffffff"/>
        <w:spacing w:before="150" w:after="150"/>
        <w:ind w:firstLine="708"/>
        <w:contextualSpacing/>
        <w:jc w:val="both"/>
        <w:rPr>
          <w:sz w:val="28"/>
          <w:szCs w:val="28"/>
        </w:rPr>
      </w:pPr>
      <w:r>
        <w:rPr>
          <w:color w:val="000000"/>
          <w:sz w:val="28"/>
          <w:szCs w:val="28"/>
        </w:rPr>
        <w:t xml:space="preserve">- ненадлежащее техническое состояние объектов капительного строительства (наличие свободного доступа, частичного разрушения), а также их ограждающих конструкций (ограждение полностью и (или) частично отсутствует).</w:t>
      </w:r>
    </w:p>
    <w:p>
      <w:pPr>
        <w:jc w:val="both"/>
        <w:rPr>
          <w:sz w:val="28"/>
          <w:szCs w:val="28"/>
        </w:rPr>
      </w:pPr>
      <w:r>
        <w:rPr>
          <w:sz w:val="28"/>
          <w:szCs w:val="28"/>
        </w:rPr>
        <w:tab/>
        <w:t xml:space="preserve">К категории низкого риска относятся объекты контроля в сфере благоустройства, не отнесённые к объектам среднего и умеренного риска. </w:t>
      </w:r>
    </w:p>
    <w:p>
      <w:pPr>
        <w:jc w:val="both"/>
        <w:rPr>
          <w:color w:val="000000" w:themeColor="text1"/>
          <w:sz w:val="28"/>
          <w:szCs w:val="28"/>
        </w:rPr>
      </w:pPr>
      <w:r>
        <w:rPr>
          <w:color w:val="ff3333"/>
          <w:sz w:val="28"/>
          <w:szCs w:val="28"/>
        </w:rPr>
        <w:tab/>
      </w:r>
      <w:r>
        <w:rPr>
          <w:rFonts w:eastAsia="Calibri"/>
          <w:color w:val="000000" w:themeColor="text1"/>
          <w:sz w:val="28"/>
          <w:szCs w:val="28"/>
        </w:rPr>
        <w:t xml:space="preserve">2.5. Контрольный орган п</w:t>
      </w:r>
      <w:r>
        <w:rPr>
          <w:color w:val="000000" w:themeColor="text1"/>
          <w:sz w:val="28"/>
          <w:szCs w:val="28"/>
        </w:rPr>
        <w:t xml:space="preserve">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pPr>
        <w:pStyle w:val="ConsPlusNormal"/>
        <w:ind w:firstLine="709"/>
        <w:jc w:val="both"/>
        <w:rPr>
          <w:rFonts w:ascii="Times New Roman" w:hAnsi="Times New Roman" w:cs="Times New Roman"/>
          <w:color w:val="000000"/>
          <w:sz w:val="28"/>
          <w:szCs w:val="28"/>
        </w:rPr>
      </w:pPr>
      <w:r>
        <w:rPr>
          <w:rFonts w:ascii="Times New Roman" w:hAnsi="Times New Roman" w:eastAsia="Calibri"/>
          <w:color w:val="000000" w:themeColor="text1"/>
          <w:sz w:val="28"/>
          <w:szCs w:val="28"/>
        </w:rPr>
        <w:t xml:space="preserve">Контрольный орган осуществляет категорирование объектов контроля             в порядке, определенном статьей 24 </w:t>
      </w:r>
      <w:r>
        <w:rPr>
          <w:rFonts w:ascii="Times New Roman" w:hAnsi="Times New Roman"/>
          <w:color w:val="000000" w:themeColor="text1"/>
          <w:sz w:val="28"/>
          <w:szCs w:val="28"/>
        </w:rPr>
        <w:t xml:space="preserve">Федерального  закона от 31.07.2020 г.                 № 248-ФЗ «О государственном контроле (надзоре) и муниципальном контроле в Российской Федерации» (далее - Федеральный закон № 248-ФЗ). </w:t>
      </w:r>
      <w:r>
        <w:rPr>
          <w:rFonts w:ascii="Times New Roman" w:hAnsi="Times New Roman" w:cs="Times New Roman"/>
          <w:color w:val="000000"/>
          <w:sz w:val="28"/>
          <w:szCs w:val="28"/>
        </w:rPr>
        <w:t xml:space="preserve">Отнесение объектов контроля к категориям риска и изменение присвоенных категорий риска осуществляется распоряжением контрольного органа.</w:t>
      </w:r>
    </w:p>
    <w:p>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Принятие решения об отнесении земельных участков к категории низкого риска не требуется.</w:t>
      </w:r>
    </w:p>
    <w:p>
      <w:pPr>
        <w:pStyle w:val="a3"/>
        <w:ind w:left="0"/>
        <w:jc w:val="both"/>
        <w:rPr>
          <w:sz w:val="28"/>
          <w:szCs w:val="28"/>
        </w:rPr>
      </w:pPr>
    </w:p>
    <w:p>
      <w:pPr>
        <w:pStyle w:val="a3"/>
        <w:ind w:left="0"/>
        <w:jc w:val="center"/>
        <w:rPr>
          <w:sz w:val="28"/>
          <w:szCs w:val="28"/>
        </w:rPr>
      </w:pPr>
      <w:r>
        <w:rPr>
          <w:b/>
          <w:color w:val="000000" w:themeColor="text1"/>
          <w:sz w:val="28"/>
          <w:szCs w:val="28"/>
        </w:rPr>
        <w:t xml:space="preserve">3.</w:t>
      </w:r>
      <w:r>
        <w:rPr>
          <w:b/>
          <w:sz w:val="28"/>
          <w:szCs w:val="28"/>
        </w:rPr>
        <w:t xml:space="preserve"> Профилактика рисков причинения вреда (ущерба) охраняемым  законом ценностям при осуществлении муниципального контроля</w:t>
      </w:r>
    </w:p>
    <w:p>
      <w:pPr>
        <w:pStyle w:val="a3"/>
        <w:ind w:left="0"/>
        <w:jc w:val="center"/>
        <w:rPr>
          <w:sz w:val="28"/>
          <w:szCs w:val="28"/>
        </w:rPr>
      </w:pPr>
    </w:p>
    <w:p>
      <w:pPr>
        <w:tabs>
          <w:tab w:val="left" w:pos="1134"/>
        </w:tabs>
        <w:ind w:firstLine="737"/>
        <w:jc w:val="both"/>
      </w:pPr>
      <w:r>
        <w:rPr>
          <w:rFonts w:eastAsia="Calibri"/>
          <w:sz w:val="28"/>
          <w:szCs w:val="28"/>
        </w:rPr>
        <w:t xml:space="preserve">3.1. Профилактические мероприятия проводятся контрольным органом             в целях, </w:t>
      </w:r>
      <w:r>
        <w:rPr>
          <w:rFonts w:eastAsia="Calibri"/>
          <w:color w:val="000000" w:themeColor="text1"/>
          <w:sz w:val="28"/>
          <w:szCs w:val="28"/>
        </w:rPr>
        <w:t xml:space="preserve">определенных частью 1 статьи 44 Федерального закона № 248-ФЗ,              </w:t>
      </w:r>
      <w:r>
        <w:rPr>
          <w:rFonts w:eastAsia="Calibri"/>
          <w:sz w:val="28"/>
          <w:szCs w:val="28"/>
        </w:rPr>
        <w:t xml:space="preserve">а также являются приоритетными по отношению к проведению контрольных мероприятий.</w:t>
      </w:r>
    </w:p>
    <w:p>
      <w:pPr>
        <w:pStyle w:val="a3"/>
        <w:tabs>
          <w:tab w:val="left" w:pos="1134"/>
        </w:tabs>
        <w:ind w:left="0" w:firstLine="737"/>
        <w:jc w:val="both"/>
      </w:pPr>
      <w:r>
        <w:rPr>
          <w:rFonts w:eastAsia="Calibri"/>
          <w:sz w:val="28"/>
          <w:szCs w:val="28"/>
        </w:rPr>
        <w:t xml:space="preserve">3.2.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решением уполномоченного должностного лица контрольного органа в соответствии с законодательством.</w:t>
      </w:r>
    </w:p>
    <w:p>
      <w:pPr>
        <w:pStyle w:val="a3"/>
        <w:tabs>
          <w:tab w:val="left" w:pos="1134"/>
        </w:tabs>
        <w:ind w:left="-57" w:firstLine="794"/>
        <w:jc w:val="both"/>
        <w:rPr>
          <w:color w:val="000000" w:themeColor="text1"/>
        </w:rPr>
      </w:pPr>
      <w:r>
        <w:rPr>
          <w:sz w:val="28"/>
          <w:szCs w:val="28"/>
        </w:rPr>
        <w:t xml:space="preserve">3.3.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 248-ФЗ. </w:t>
      </w:r>
      <w:r>
        <w:rPr>
          <w:color w:val="000000" w:themeColor="text1"/>
          <w:sz w:val="28"/>
          <w:szCs w:val="28"/>
        </w:rPr>
        <w:t xml:space="preserve">Если иное не установлено Федеральным законом №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 либо в случаях, предусмотренных Федеральным законом            № 248-ФЗ, принимает меры, указанные в статье 90 Федерального закона                № 248-ФЗ.</w:t>
      </w:r>
    </w:p>
    <w:p>
      <w:pPr>
        <w:pStyle w:val="a3"/>
        <w:tabs>
          <w:tab w:val="left" w:pos="1134"/>
        </w:tabs>
        <w:ind w:left="0" w:firstLine="737"/>
        <w:jc w:val="both"/>
      </w:pPr>
      <w:r>
        <w:rPr>
          <w:sz w:val="28"/>
          <w:szCs w:val="28"/>
        </w:rPr>
        <w:t xml:space="preserve">3.4.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w:t>
      </w:r>
      <w:r>
        <w:rPr>
          <w:color w:val="000000" w:themeColor="text1"/>
          <w:sz w:val="28"/>
          <w:szCs w:val="28"/>
        </w:rPr>
        <w:t xml:space="preserve">уполномоченному должностному лицу контрольного органа</w:t>
      </w:r>
      <w:r>
        <w:rPr>
          <w:sz w:val="28"/>
          <w:szCs w:val="28"/>
        </w:rPr>
        <w:t xml:space="preserve"> для принятия решения о проведении контрольных мероприятий.</w:t>
      </w:r>
      <w:bookmarkEnd w:id="0"/>
    </w:p>
    <w:p>
      <w:pPr>
        <w:pStyle w:val="a3"/>
        <w:tabs>
          <w:tab w:val="left" w:pos="1134"/>
        </w:tabs>
        <w:ind w:left="0" w:firstLine="737"/>
        <w:jc w:val="both"/>
      </w:pPr>
      <w:r>
        <w:rPr>
          <w:rFonts w:eastAsia="Calibri"/>
          <w:sz w:val="28"/>
          <w:szCs w:val="28"/>
        </w:rPr>
        <w:t xml:space="preserve">3.5. При осуществлении муниципального контроля могут проводиться следующие  виды профилактических мероприятий:</w:t>
      </w:r>
    </w:p>
    <w:p>
      <w:pPr>
        <w:pStyle w:val="a3"/>
        <w:tabs>
          <w:tab w:val="left" w:pos="1134"/>
        </w:tabs>
        <w:ind w:left="0" w:firstLine="737"/>
        <w:jc w:val="both"/>
        <w:rPr>
          <w:rFonts w:eastAsia="Calibri"/>
          <w:sz w:val="28"/>
          <w:szCs w:val="28"/>
        </w:rPr>
      </w:pPr>
      <w:r>
        <w:rPr>
          <w:rFonts w:eastAsia="Calibri"/>
          <w:sz w:val="28"/>
          <w:szCs w:val="28"/>
        </w:rPr>
        <w:t xml:space="preserve">1) информирование;</w:t>
      </w:r>
    </w:p>
    <w:p>
      <w:pPr>
        <w:pStyle w:val="a3"/>
        <w:tabs>
          <w:tab w:val="left" w:pos="1134"/>
        </w:tabs>
        <w:ind w:left="0" w:firstLine="737"/>
        <w:jc w:val="both"/>
      </w:pPr>
      <w:r>
        <w:rPr>
          <w:rFonts w:eastAsia="Calibri"/>
          <w:sz w:val="28"/>
          <w:szCs w:val="28"/>
        </w:rPr>
        <w:t xml:space="preserve">2) обобщение правоприменительной практики;</w:t>
      </w:r>
    </w:p>
    <w:p>
      <w:pPr>
        <w:pStyle w:val="a3"/>
        <w:tabs>
          <w:tab w:val="left" w:pos="1134"/>
        </w:tabs>
        <w:ind w:left="0" w:firstLine="737"/>
        <w:jc w:val="both"/>
        <w:rPr>
          <w:rFonts w:eastAsia="Calibri"/>
          <w:sz w:val="28"/>
          <w:szCs w:val="28"/>
        </w:rPr>
      </w:pPr>
      <w:r>
        <w:rPr>
          <w:rFonts w:eastAsia="Calibri"/>
          <w:sz w:val="28"/>
          <w:szCs w:val="28"/>
        </w:rPr>
        <w:t xml:space="preserve">3) консультирование;</w:t>
      </w:r>
    </w:p>
    <w:p>
      <w:pPr>
        <w:pStyle w:val="a3"/>
        <w:tabs>
          <w:tab w:val="left" w:pos="1134"/>
        </w:tabs>
        <w:ind w:left="0" w:firstLine="737"/>
        <w:jc w:val="both"/>
      </w:pPr>
      <w:r>
        <w:rPr>
          <w:sz w:val="28"/>
          <w:szCs w:val="28"/>
        </w:rPr>
        <w:t xml:space="preserve">4) объявление предостережения;</w:t>
      </w:r>
    </w:p>
    <w:p>
      <w:pPr>
        <w:pStyle w:val="a3"/>
        <w:tabs>
          <w:tab w:val="left" w:pos="1134"/>
        </w:tabs>
        <w:ind w:left="0" w:firstLine="737"/>
        <w:jc w:val="both"/>
      </w:pPr>
      <w:r>
        <w:rPr>
          <w:color w:val="000000"/>
          <w:sz w:val="28"/>
          <w:szCs w:val="28"/>
        </w:rPr>
        <w:t xml:space="preserve">5) профилактический визит.</w:t>
      </w:r>
      <w:r>
        <w:rPr>
          <w:color w:val="000000"/>
          <w:sz w:val="28"/>
          <w:szCs w:val="28"/>
        </w:rPr>
        <w:tab/>
      </w:r>
    </w:p>
    <w:p>
      <w:pPr>
        <w:pStyle w:val="a3"/>
        <w:tabs>
          <w:tab w:val="left" w:pos="1134"/>
        </w:tabs>
        <w:ind w:left="0" w:firstLine="737"/>
        <w:jc w:val="both"/>
      </w:pPr>
      <w:r>
        <w:rPr>
          <w:rFonts w:eastAsia="Calibri"/>
          <w:color w:val="000000" w:themeColor="text1"/>
          <w:sz w:val="28"/>
          <w:szCs w:val="28"/>
        </w:rPr>
        <w:t xml:space="preserve">3.6.</w:t>
      </w:r>
      <w:r>
        <w:rPr>
          <w:rFonts w:eastAsia="Calibri"/>
          <w:sz w:val="28"/>
          <w:szCs w:val="28"/>
        </w:rPr>
        <w:t xml:space="preserve"> Информирование осуществляется посредством размещения сведений, предусмотренных </w:t>
      </w:r>
      <w:hyperlink r:id="rId17" w:tooltip="consultantplus://offline/ref=1D4E32A31A176726FF77A9EFC32AC1AADF1A11E10915B9C2EAEB08B6420BA89D5285C3D8291066ADE36704B4B5FA87C24CDB8E14FED710BCUBy5H" w:history="1">
        <w:r>
          <w:rPr>
            <w:rStyle w:val="-"/>
            <w:rFonts w:eastAsia="Calibri"/>
            <w:color w:val="000000"/>
            <w:sz w:val="28"/>
            <w:szCs w:val="28"/>
            <w:u w:val="none"/>
          </w:rPr>
          <w:t xml:space="preserve">частью 3 статьи 46</w:t>
        </w:r>
      </w:hyperlink>
      <w:r>
        <w:rPr>
          <w:rFonts w:eastAsia="Calibri"/>
          <w:sz w:val="28"/>
          <w:szCs w:val="28"/>
        </w:rPr>
        <w:t xml:space="preserve"> Федерального закона № 248-ФЗ               на официальном сайте </w:t>
      </w:r>
      <w:r>
        <w:rPr>
          <w:rFonts w:eastAsia="Calibri"/>
          <w:color w:val="000000" w:themeColor="text1"/>
          <w:sz w:val="28"/>
          <w:szCs w:val="28"/>
        </w:rPr>
        <w:t xml:space="preserve">контрольного органа</w:t>
      </w:r>
      <w:r>
        <w:rPr>
          <w:rFonts w:eastAsia="Calibri"/>
          <w:sz w:val="28"/>
          <w:szCs w:val="28"/>
        </w:rPr>
        <w:t xml:space="preserve"> в сети «Интернет»: https://admivnya.gosuslugi.ru/,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pPr>
        <w:pStyle w:val="ConsPlusNormal"/>
        <w:ind w:firstLine="709"/>
        <w:jc w:val="both"/>
        <w:rPr>
          <w:rFonts w:ascii="Times New Roman" w:hAnsi="Times New Roman" w:cs="Times New Roman"/>
        </w:rPr>
      </w:pPr>
      <w:r>
        <w:rPr>
          <w:rFonts w:ascii="Times New Roman" w:hAnsi="Times New Roman" w:eastAsia="Calibri"/>
          <w:color w:val="000000" w:themeColor="text1"/>
          <w:sz w:val="28"/>
          <w:szCs w:val="28"/>
        </w:rPr>
        <w:t xml:space="preserve">3.7.</w:t>
      </w:r>
      <w:r>
        <w:rPr>
          <w:rFonts w:ascii="Times New Roman" w:hAnsi="Times New Roman" w:eastAsia="Calibri"/>
          <w:color w:val="000000" w:themeColor="text1"/>
          <w:sz w:val="16"/>
          <w:szCs w:val="16"/>
        </w:rPr>
        <w:tab/>
      </w:r>
      <w:r>
        <w:rPr>
          <w:rFonts w:ascii="Times New Roman" w:hAnsi="Times New Roman" w:cs="Times New Roman"/>
          <w:color w:val="000000"/>
          <w:sz w:val="28"/>
          <w:szCs w:val="28"/>
        </w:rPr>
        <w:t xml:space="preserve">Обобщение правоприменительной практики осуществляется контрольным органом посредством сбора и анализа данных о проведенных контрольных мероприятиях и их результатах.</w:t>
      </w:r>
    </w:p>
    <w:p>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 итогам обобщения правоприменительной практики должностным лицом, уполномоченным осуществлять муниципальный контроль в сфере </w:t>
      </w:r>
      <w:r>
        <w:rPr>
          <w:rFonts w:ascii="Times New Roman" w:hAnsi="Times New Roman" w:cs="Times New Roman"/>
          <w:color w:val="000000"/>
          <w:sz w:val="28"/>
          <w:szCs w:val="28"/>
        </w:rPr>
        <w:t xml:space="preserve">благоустройства, ежегодно готовится доклад, содержащий результаты обобщения правоприменительной практики по осуществлению муниципального контроля в сфере благоустройства.</w:t>
      </w:r>
      <w:r>
        <w:rPr>
          <w:rFonts w:ascii="Times New Roman" w:hAnsi="Times New Roman" w:cs="Times New Roman"/>
          <w:i/>
          <w:iCs/>
          <w:color w:val="000000"/>
          <w:sz w:val="28"/>
          <w:szCs w:val="28"/>
        </w:rPr>
        <w:t xml:space="preserve"> </w:t>
      </w:r>
      <w:r>
        <w:rPr>
          <w:rFonts w:ascii="Times New Roman" w:hAnsi="Times New Roman" w:cs="Times New Roman"/>
          <w:color w:val="000000"/>
          <w:sz w:val="28"/>
          <w:szCs w:val="28"/>
        </w:rPr>
        <w:t xml:space="preserve">Указанный доклад утверждается распоряжением контрольного органа и размещается в срок            до 1 июля года, следующего за отчетным годом, на официальном сайте контрольного органа в специальном разделе, посвященном контрольной деятельности.</w:t>
      </w:r>
    </w:p>
    <w:p>
      <w:pPr>
        <w:pStyle w:val="a3"/>
        <w:tabs>
          <w:tab w:val="left" w:pos="1134"/>
        </w:tabs>
        <w:ind w:left="0" w:firstLine="737"/>
        <w:jc w:val="both"/>
      </w:pPr>
      <w:r>
        <w:rPr>
          <w:rFonts w:eastAsia="Calibri"/>
          <w:sz w:val="28"/>
          <w:szCs w:val="28"/>
        </w:rPr>
        <w:t xml:space="preserve">3.8.</w:t>
      </w:r>
      <w:r>
        <w:rPr>
          <w:rFonts w:eastAsia="Calibri"/>
          <w:sz w:val="16"/>
          <w:szCs w:val="16"/>
        </w:rPr>
        <w:t xml:space="preserve"> </w:t>
      </w:r>
      <w:r>
        <w:rPr>
          <w:rFonts w:eastAsia="Calibri"/>
          <w:sz w:val="28"/>
          <w:szCs w:val="28"/>
        </w:rPr>
        <w:t xml:space="preserve">Консультирование контролируемых лиц и их представителей осуществляется по обращениям контролируемых лиц и их представителей              по вопросам, связанным с организацией и осуществлением муниципального контроля.</w:t>
      </w:r>
    </w:p>
    <w:p>
      <w:pPr>
        <w:pStyle w:val="a3"/>
        <w:tabs>
          <w:tab w:val="left" w:pos="1134"/>
        </w:tabs>
        <w:ind w:left="0" w:firstLine="737"/>
        <w:jc w:val="both"/>
      </w:pPr>
      <w:r>
        <w:rPr>
          <w:rFonts w:eastAsia="Calibri"/>
          <w:sz w:val="28"/>
          <w:szCs w:val="28"/>
        </w:rPr>
        <w:t xml:space="preserve">Консультирование осуществляется без взимания платы.</w:t>
      </w:r>
    </w:p>
    <w:p>
      <w:pPr>
        <w:pStyle w:val="formattext"/>
        <w:spacing w:before="0" w:after="0"/>
        <w:ind w:firstLine="737"/>
        <w:jc w:val="both"/>
      </w:pPr>
      <w:r>
        <w:rPr>
          <w:rFonts w:eastAsia="Calibri"/>
          <w:sz w:val="28"/>
          <w:szCs w:val="28"/>
        </w:rPr>
        <w:t xml:space="preserve">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w:t>
      </w:r>
      <w:r>
        <w:rPr>
          <w:sz w:val="28"/>
          <w:szCs w:val="28"/>
        </w:rPr>
        <w:t xml:space="preserve">так  и в письменной форме.</w:t>
      </w:r>
    </w:p>
    <w:p>
      <w:pPr>
        <w:jc w:val="both"/>
        <w:rPr>
          <w:sz w:val="28"/>
          <w:szCs w:val="28"/>
        </w:rPr>
      </w:pPr>
      <w:r>
        <w:rPr>
          <w:rFonts w:eastAsia="Calibri"/>
          <w:sz w:val="28"/>
          <w:szCs w:val="28"/>
        </w:rPr>
        <w:tab/>
        <w:t xml:space="preserve">Время консультирования не должно превышать 15 минут.</w:t>
      </w:r>
    </w:p>
    <w:p>
      <w:pPr>
        <w:jc w:val="both"/>
        <w:rPr>
          <w:sz w:val="28"/>
          <w:szCs w:val="28"/>
        </w:rPr>
      </w:pPr>
      <w:r>
        <w:rPr>
          <w:rFonts w:eastAsia="Calibri"/>
          <w:sz w:val="28"/>
          <w:szCs w:val="28"/>
        </w:rPr>
        <w:tab/>
        <w:t xml:space="preserve">Личный прием граждан проводится руководителем контрольного органа. </w:t>
      </w:r>
    </w:p>
    <w:p>
      <w:pPr>
        <w:jc w:val="both"/>
      </w:pPr>
      <w:r>
        <w:rPr>
          <w:rFonts w:eastAsia="Calibri"/>
          <w:sz w:val="28"/>
          <w:szCs w:val="28"/>
        </w:rPr>
        <w:tab/>
        <w:t xml:space="preserve">Информация о месте приема, а также об установленных для приема днях и часах размещается на официальном сайте </w:t>
      </w:r>
      <w:r>
        <w:rPr>
          <w:rFonts w:eastAsia="Calibri"/>
          <w:color w:val="000000" w:themeColor="text1"/>
          <w:sz w:val="28"/>
          <w:szCs w:val="28"/>
        </w:rPr>
        <w:t xml:space="preserve">контрольного органа</w:t>
      </w:r>
      <w:r>
        <w:rPr>
          <w:rFonts w:eastAsia="Calibri"/>
          <w:sz w:val="28"/>
          <w:szCs w:val="28"/>
        </w:rPr>
        <w:t xml:space="preserve"> в сети «Интернет»: https://admivnya.gosuslugi.ru/glavnoe/obrascheniya-grazhdan/.</w:t>
      </w:r>
    </w:p>
    <w:p>
      <w:pPr>
        <w:jc w:val="both"/>
      </w:pPr>
      <w:r>
        <w:rPr>
          <w:rFonts w:eastAsia="Calibri"/>
          <w:sz w:val="28"/>
          <w:szCs w:val="28"/>
        </w:rPr>
        <w:tab/>
        <w:t xml:space="preserve">3.9. Консультирование осуществляется по следующим вопросам:</w:t>
      </w:r>
    </w:p>
    <w:p>
      <w:pPr>
        <w:tabs>
          <w:tab w:val="left" w:pos="1134"/>
        </w:tabs>
        <w:ind w:firstLine="737"/>
        <w:jc w:val="both"/>
      </w:pPr>
      <w:r>
        <w:rPr>
          <w:rFonts w:eastAsia="Calibri"/>
          <w:sz w:val="28"/>
          <w:szCs w:val="28"/>
        </w:rPr>
        <w:t xml:space="preserve">а) организация и осуществление муниципального контроля;</w:t>
      </w:r>
    </w:p>
    <w:p>
      <w:pPr>
        <w:tabs>
          <w:tab w:val="left" w:pos="1134"/>
        </w:tabs>
        <w:ind w:firstLine="737"/>
        <w:jc w:val="both"/>
      </w:pPr>
      <w:r>
        <w:rPr>
          <w:rFonts w:eastAsia="Calibri"/>
          <w:sz w:val="28"/>
          <w:szCs w:val="28"/>
        </w:rPr>
        <w:t xml:space="preserve">б)</w:t>
      </w:r>
      <w:r>
        <w:rPr>
          <w:rFonts w:eastAsia="Calibri"/>
          <w:sz w:val="28"/>
          <w:szCs w:val="28"/>
        </w:rPr>
        <w:tab/>
        <w:t xml:space="preserve">порядок осуществления профилактических, контрольных мероприятий, установленных настоящим положением.</w:t>
      </w:r>
    </w:p>
    <w:p>
      <w:pPr>
        <w:tabs>
          <w:tab w:val="left" w:pos="1134"/>
        </w:tabs>
        <w:ind w:firstLine="737"/>
        <w:jc w:val="both"/>
        <w:rPr>
          <w:color w:val="000000" w:themeColor="text1"/>
        </w:rPr>
      </w:pPr>
      <w:r>
        <w:rPr>
          <w:rFonts w:eastAsia="Calibri"/>
          <w:color w:val="000000" w:themeColor="text1"/>
          <w:sz w:val="28"/>
          <w:szCs w:val="28"/>
        </w:rPr>
        <w:t xml:space="preserve">в) </w:t>
      </w:r>
      <w:r>
        <w:rPr>
          <w:color w:val="000000"/>
          <w:sz w:val="28"/>
          <w:szCs w:val="28"/>
        </w:rPr>
        <w:t xml:space="preserve">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контрольным органом в рамках контрольных мероприятий;</w:t>
      </w:r>
    </w:p>
    <w:p>
      <w:pPr>
        <w:tabs>
          <w:tab w:val="left" w:pos="1134"/>
        </w:tabs>
        <w:ind w:firstLine="737"/>
        <w:jc w:val="both"/>
        <w:rPr>
          <w:color w:val="000000" w:themeColor="text1"/>
        </w:rPr>
      </w:pPr>
      <w:r>
        <w:rPr>
          <w:color w:val="000000" w:themeColor="text1"/>
          <w:sz w:val="28"/>
          <w:szCs w:val="28"/>
        </w:rPr>
        <w:t xml:space="preserve">г) порядок обжалования решений контрольных органов, действий (бездействия) их должностных лиц.</w:t>
      </w:r>
    </w:p>
    <w:p>
      <w:pPr>
        <w:tabs>
          <w:tab w:val="left" w:pos="1134"/>
        </w:tabs>
        <w:ind w:firstLine="737"/>
        <w:jc w:val="both"/>
        <w:rPr>
          <w:color w:val="000000" w:themeColor="text1"/>
        </w:rPr>
      </w:pPr>
      <w:r>
        <w:rPr>
          <w:color w:val="000000" w:themeColor="text1"/>
          <w:sz w:val="28"/>
          <w:szCs w:val="28"/>
        </w:rPr>
        <w:t xml:space="preserve">Письменное консультирование осуществляется в случае поступления обращения в письменной форме по вопросам, указанным в подпунктах б-г настоящего пункта. </w:t>
      </w:r>
    </w:p>
    <w:p>
      <w:pPr>
        <w:tabs>
          <w:tab w:val="left" w:pos="1134"/>
        </w:tabs>
        <w:ind w:firstLine="737"/>
        <w:jc w:val="both"/>
      </w:pPr>
      <w:r>
        <w:rPr>
          <w:rFonts w:eastAsia="Calibri"/>
          <w:sz w:val="28"/>
          <w:szCs w:val="28"/>
        </w:rPr>
        <w:t xml:space="preserve">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pPr>
        <w:jc w:val="both"/>
        <w:rPr>
          <w:sz w:val="28"/>
          <w:szCs w:val="28"/>
        </w:rPr>
      </w:pPr>
      <w:r>
        <w:rPr>
          <w:rFonts w:eastAsia="Calibri"/>
          <w:sz w:val="28"/>
          <w:szCs w:val="28"/>
        </w:rPr>
        <w:tab/>
        <w:t xml:space="preserve">Контрольный орган осуществляет учет консультирований, который проводится посредством внесения соответствующей записи в журнал консультирования.</w:t>
      </w:r>
    </w:p>
    <w:p>
      <w:pPr>
        <w:jc w:val="both"/>
        <w:rPr>
          <w:sz w:val="28"/>
          <w:szCs w:val="28"/>
        </w:rPr>
      </w:pPr>
      <w:r>
        <w:rPr>
          <w:rFonts w:eastAsia="Calibri"/>
          <w:sz w:val="28"/>
          <w:szCs w:val="28"/>
        </w:rPr>
        <w:tab/>
        <w:t xml:space="preserve">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pPr>
        <w:jc w:val="both"/>
      </w:pPr>
      <w:r>
        <w:rPr>
          <w:rFonts w:eastAsia="Calibri"/>
          <w:sz w:val="28"/>
          <w:szCs w:val="28"/>
        </w:rPr>
        <w:tab/>
        <w:t xml:space="preserve">В случае если в течение календарного года поступило пять</w:t>
      </w:r>
      <w:r>
        <w:rPr>
          <w:rFonts w:eastAsia="Calibri"/>
          <w:color w:val="ff3333"/>
          <w:sz w:val="28"/>
          <w:szCs w:val="28"/>
        </w:rPr>
        <w:t xml:space="preserve"> </w:t>
      </w:r>
      <w:r>
        <w:rPr>
          <w:rFonts w:eastAsia="Calibri"/>
          <w:sz w:val="28"/>
          <w:szCs w:val="28"/>
        </w:rPr>
        <w:t xml:space="preserve">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в сети «Интернет»: </w:t>
      </w:r>
      <w:hyperlink r:id="rId18" w:tooltip="https://admivnya.gosuslugi.ru/ofitsialno/munitsipalnyy-kontrol/" w:history="1">
        <w:r>
          <w:rPr>
            <w:rStyle w:val="af0"/>
            <w:rFonts w:eastAsia="Calibri"/>
            <w:color w:val="000000" w:themeColor="text1"/>
            <w:sz w:val="28"/>
            <w:szCs w:val="28"/>
          </w:rPr>
          <w:t xml:space="preserve">https://admivnya.gosuslugi.ru/ofitsialno/munitsipalnyy-kontrol/</w:t>
        </w:r>
      </w:hyperlink>
      <w:r>
        <w:rPr>
          <w:rFonts w:eastAsia="Calibri"/>
          <w:sz w:val="28"/>
          <w:szCs w:val="28"/>
        </w:rPr>
        <w:tab/>
        <w:t xml:space="preserve">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
    <w:p>
      <w:pPr>
        <w:jc w:val="both"/>
        <w:rPr>
          <w:sz w:val="28"/>
          <w:szCs w:val="28"/>
        </w:rPr>
      </w:pPr>
      <w:r>
        <w:rPr>
          <w:rFonts w:eastAsia="Calibri"/>
          <w:color w:val="ff3333"/>
          <w:sz w:val="28"/>
          <w:szCs w:val="28"/>
        </w:rPr>
        <w:tab/>
      </w:r>
      <w:r>
        <w:rPr>
          <w:rFonts w:eastAsia="Calibri"/>
          <w:color w:val="000000" w:themeColor="text1"/>
          <w:sz w:val="28"/>
          <w:szCs w:val="28"/>
        </w:rPr>
        <w:t xml:space="preserve">3.10.</w:t>
      </w:r>
      <w:r>
        <w:rPr>
          <w:rFonts w:eastAsia="Calibri"/>
          <w:sz w:val="28"/>
          <w:szCs w:val="28"/>
        </w:rPr>
        <w:t xml:space="preserve"> </w:t>
      </w:r>
      <w:r>
        <w:rPr>
          <w:sz w:val="28"/>
          <w:szCs w:val="28"/>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w:t>
      </w:r>
      <w:hyperlink r:id="rId19" w:tooltip="https://login.consultant.ru/link/?rnd=F0DAF462C3E10FD88800F682F109FDF6&amp;req=doc&amp;base=RZR&amp;n=386954&amp;dst=100547&amp;fld=134&amp;REFFIELD=134&amp;REFDST=100169&amp;REFDOC=389272&amp;REFBASE=RZR&amp;stat=refcode%3D16876%3Bdstident%3D100547%3Bindex%3D202&amp;date=15.07.2021" w:history="1">
        <w:r>
          <w:rPr>
            <w:rStyle w:val="-"/>
            <w:color w:val="000000"/>
            <w:sz w:val="28"/>
            <w:szCs w:val="28"/>
            <w:u w:val="none"/>
          </w:rPr>
          <w:t xml:space="preserve">статьей 49</w:t>
        </w:r>
      </w:hyperlink>
      <w:r>
        <w:rPr>
          <w:sz w:val="28"/>
          <w:szCs w:val="28"/>
        </w:rPr>
        <w:t xml:space="preserve"> Федерального закона </w:t>
      </w:r>
      <w:r>
        <w:rPr>
          <w:rFonts w:eastAsia="Calibri"/>
          <w:sz w:val="28"/>
          <w:szCs w:val="28"/>
        </w:rPr>
        <w:t xml:space="preserve"> № 248-ФЗ</w:t>
      </w:r>
      <w:r>
        <w:rPr>
          <w:sz w:val="28"/>
          <w:szCs w:val="28"/>
        </w:rPr>
        <w:t xml:space="preserve">.</w:t>
      </w:r>
    </w:p>
    <w:p>
      <w:pPr>
        <w:ind w:firstLine="709"/>
        <w:jc w:val="both"/>
        <w:rPr>
          <w:color w:val="000000"/>
          <w:sz w:val="28"/>
          <w:szCs w:val="28"/>
        </w:rPr>
      </w:pPr>
      <w:r>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Pr>
          <w:color w:val="000000"/>
          <w:sz w:val="28"/>
          <w:szCs w:val="28"/>
          <w:shd w:val="clear" w:color="auto" w:fill="ffffff"/>
        </w:rPr>
        <w:t xml:space="preserve">приказом Министерства экономического развития Российской Федерации от 31 марта 2021 года № 151</w:t>
      </w:r>
      <w:r>
        <w:rPr>
          <w:color w:val="000000"/>
          <w:sz w:val="28"/>
          <w:szCs w:val="28"/>
        </w:rPr>
        <w:br/>
      </w:r>
      <w:r>
        <w:rPr>
          <w:color w:val="000000"/>
          <w:sz w:val="28"/>
          <w:szCs w:val="28"/>
          <w:shd w:val="clear" w:color="auto" w:fill="ffffff"/>
        </w:rPr>
        <w:t xml:space="preserve">«О типовых формах документов, используемых контрольным (надзорным) органом»</w:t>
      </w:r>
      <w:r>
        <w:rPr>
          <w:color w:val="000000"/>
          <w:sz w:val="28"/>
          <w:szCs w:val="28"/>
        </w:rPr>
        <w:t xml:space="preserve">. </w:t>
      </w:r>
    </w:p>
    <w:p>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pPr>
        <w:jc w:val="both"/>
        <w:rPr>
          <w:sz w:val="28"/>
          <w:szCs w:val="28"/>
        </w:rPr>
      </w:pPr>
      <w:r>
        <w:rPr>
          <w:sz w:val="28"/>
          <w:szCs w:val="28"/>
        </w:rPr>
        <w:tab/>
        <w:t xml:space="preserve">Контролируемое лицо в течение </w:t>
      </w:r>
      <w:r>
        <w:rPr>
          <w:color w:val="000000" w:themeColor="text1"/>
          <w:sz w:val="28"/>
          <w:szCs w:val="28"/>
        </w:rPr>
        <w:t xml:space="preserve">20</w:t>
      </w:r>
      <w:r>
        <w:rPr>
          <w:sz w:val="28"/>
          <w:szCs w:val="28"/>
        </w:rPr>
        <w:t xml:space="preserve"> рабочих дней со дня получения предостережения о недопустимости нарушения обязательных требований вправе подать в контролирующий орган возражение в отношении указанного предостережения </w:t>
      </w:r>
      <w:r>
        <w:rPr>
          <w:color w:val="000000" w:themeColor="text1"/>
          <w:sz w:val="28"/>
          <w:szCs w:val="28"/>
        </w:rPr>
        <w:t xml:space="preserve">в порядке, установленном пунктом 6.4. Положения. </w:t>
      </w:r>
    </w:p>
    <w:p>
      <w:pPr>
        <w:jc w:val="both"/>
        <w:rPr>
          <w:sz w:val="28"/>
          <w:szCs w:val="28"/>
        </w:rPr>
      </w:pPr>
      <w:r>
        <w:rPr>
          <w:sz w:val="28"/>
          <w:szCs w:val="28"/>
        </w:rPr>
        <w:tab/>
        <w:t xml:space="preserve">Рассмотрение возражения в отношении указанного предостережения                и направление ответа по итогам его рассмотрения осуществляется в срок,               не превышающий </w:t>
      </w:r>
      <w:r>
        <w:rPr>
          <w:color w:val="000000" w:themeColor="text1"/>
          <w:sz w:val="28"/>
          <w:szCs w:val="28"/>
        </w:rPr>
        <w:t xml:space="preserve">15</w:t>
      </w:r>
      <w:r>
        <w:rPr>
          <w:sz w:val="28"/>
          <w:szCs w:val="28"/>
        </w:rPr>
        <w:t xml:space="preserve"> рабочих дней со дня регистрации такого возражения.</w:t>
      </w:r>
    </w:p>
    <w:p>
      <w:pPr>
        <w:jc w:val="both"/>
        <w:rPr>
          <w:color w:val="ff3333"/>
          <w:sz w:val="28"/>
          <w:szCs w:val="28"/>
        </w:rPr>
      </w:pPr>
      <w:r>
        <w:rPr>
          <w:sz w:val="28"/>
          <w:szCs w:val="28"/>
        </w:rPr>
        <w:tab/>
        <w:t xml:space="preserve">3.11.</w:t>
      </w:r>
      <w:r>
        <w:rPr>
          <w:color w:val="ff3333"/>
          <w:sz w:val="28"/>
          <w:szCs w:val="28"/>
        </w:rPr>
        <w:t xml:space="preserve"> </w:t>
      </w:r>
      <w:r>
        <w:rPr>
          <w:sz w:val="28"/>
          <w:szCs w:val="28"/>
        </w:rPr>
        <w:t xml:space="preserve">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или мобильного приложения «Инспектор».</w:t>
      </w:r>
    </w:p>
    <w:p>
      <w:pPr>
        <w:ind w:firstLine="720"/>
        <w:jc w:val="both"/>
        <w:rPr>
          <w:color w:val="000000" w:themeColor="text1"/>
        </w:rPr>
      </w:pPr>
      <w:r>
        <w:rPr>
          <w:color w:val="000000" w:themeColor="text1"/>
          <w:sz w:val="28"/>
          <w:szCs w:val="28"/>
        </w:rPr>
        <w:t xml:space="preserve">Для объектов контроля, отнесенных к категории среднего                            или умеренного риска проводится обязательный профилактический визит                 в порядке, определенном статьей 52.1 Федерального  закона  № 248-ФЗ                                     и с периодичностью, установленной постановлением Правительства Российской Федерации.</w:t>
      </w:r>
    </w:p>
    <w:p>
      <w:pPr>
        <w:jc w:val="both"/>
        <w:rPr>
          <w:color w:val="000000" w:themeColor="text1"/>
        </w:rPr>
      </w:pPr>
      <w:r>
        <w:rPr>
          <w:color w:val="ff3333"/>
          <w:sz w:val="28"/>
          <w:szCs w:val="28"/>
        </w:rPr>
        <w:tab/>
      </w:r>
      <w:r>
        <w:rPr>
          <w:color w:val="000000" w:themeColor="text1"/>
          <w:sz w:val="28"/>
          <w:szCs w:val="28"/>
        </w:rPr>
        <w:t xml:space="preserve">3.12 Контролируемое лицо, предусмотренное частью 1 статьи 52.2 Федерального закона № 248-ФЗ, вправе обратиться в контрольный орган                   с заявлением о проведении в отношении него профилактического визита (далее - заявление).</w:t>
      </w:r>
    </w:p>
    <w:p>
      <w:pPr>
        <w:jc w:val="both"/>
        <w:rPr>
          <w:color w:val="000000" w:themeColor="text1"/>
        </w:rPr>
      </w:pPr>
      <w:r>
        <w:rPr>
          <w:color w:val="000000" w:themeColor="text1"/>
          <w:sz w:val="28"/>
          <w:szCs w:val="28"/>
        </w:rPr>
        <w:tab/>
        <w:t xml:space="preserve">Заявление подается посредством Единого портала государственных                    и муниципальных услуг (функций).</w:t>
      </w:r>
    </w:p>
    <w:p>
      <w:pPr>
        <w:jc w:val="both"/>
        <w:rPr>
          <w:color w:val="000000" w:themeColor="text1"/>
        </w:rPr>
      </w:pPr>
      <w:r>
        <w:rPr>
          <w:color w:val="000000" w:themeColor="text1"/>
          <w:sz w:val="28"/>
          <w:szCs w:val="28"/>
        </w:rPr>
        <w:tab/>
        <w:t xml:space="preserve">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 предусмотренным частью 4 статьи 52.2 Федерального закона № 248-ФЗ, о чем уведомляет контролируемое лицо.</w:t>
      </w:r>
    </w:p>
    <w:p>
      <w:pPr>
        <w:jc w:val="both"/>
        <w:rPr>
          <w:color w:val="000000" w:themeColor="text1"/>
          <w:sz w:val="28"/>
          <w:szCs w:val="28"/>
        </w:rPr>
      </w:pPr>
      <w:r>
        <w:rPr>
          <w:color w:val="000000" w:themeColor="text1"/>
          <w:sz w:val="28"/>
          <w:szCs w:val="28"/>
        </w:rPr>
        <w:tab/>
        <w:t xml:space="preserve">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pPr>
        <w:jc w:val="both"/>
        <w:rPr>
          <w:color w:val="000000" w:themeColor="text1"/>
        </w:rPr>
      </w:pPr>
      <w:r>
        <w:rPr>
          <w:color w:val="000000" w:themeColor="text1"/>
          <w:sz w:val="28"/>
          <w:szCs w:val="28"/>
        </w:rPr>
        <w:tab/>
        <w:t xml:space="preserve">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pPr>
        <w:jc w:val="both"/>
        <w:rPr>
          <w:color w:val="000000" w:themeColor="text1"/>
        </w:rPr>
      </w:pPr>
    </w:p>
    <w:p>
      <w:pPr>
        <w:pStyle w:val="a3"/>
        <w:ind w:left="0"/>
        <w:jc w:val="center"/>
        <w:rPr>
          <w:sz w:val="28"/>
          <w:szCs w:val="28"/>
        </w:rPr>
      </w:pPr>
      <w:r>
        <w:rPr>
          <w:b/>
          <w:sz w:val="28"/>
          <w:szCs w:val="28"/>
        </w:rPr>
        <w:t xml:space="preserve">4. Порядок организации муниципального контроля</w:t>
      </w:r>
    </w:p>
    <w:p>
      <w:pPr>
        <w:jc w:val="both"/>
        <w:rPr>
          <w:sz w:val="28"/>
          <w:szCs w:val="28"/>
        </w:rPr>
      </w:pPr>
    </w:p>
    <w:p>
      <w:pPr>
        <w:jc w:val="both"/>
        <w:rPr>
          <w:color w:val="000000" w:themeColor="text1"/>
        </w:rPr>
      </w:pPr>
      <w:r>
        <w:rPr>
          <w:rFonts w:eastAsia="Calibri"/>
          <w:sz w:val="28"/>
          <w:szCs w:val="28"/>
        </w:rPr>
        <w:tab/>
        <w:t xml:space="preserve">4.1. </w:t>
      </w:r>
      <w:r>
        <w:rPr>
          <w:rFonts w:eastAsia="Calibri"/>
          <w:color w:val="000000" w:themeColor="text1"/>
          <w:sz w:val="28"/>
          <w:szCs w:val="28"/>
        </w:rPr>
        <w:t xml:space="preserve">М</w:t>
      </w:r>
      <w:r>
        <w:rPr>
          <w:bCs/>
          <w:color w:val="000000" w:themeColor="text1"/>
          <w:sz w:val="28"/>
          <w:szCs w:val="28"/>
        </w:rPr>
        <w:t xml:space="preserve">униципальный контроль осуществляется без проведения плановых контрольных мероприятий. </w:t>
      </w:r>
    </w:p>
    <w:p>
      <w:pPr>
        <w:pStyle w:val="a3"/>
        <w:ind w:left="0"/>
        <w:jc w:val="both"/>
        <w:rPr>
          <w:color w:val="000000" w:themeColor="text1"/>
        </w:rPr>
      </w:pPr>
      <w:r>
        <w:rPr>
          <w:bCs/>
          <w:color w:val="000000" w:themeColor="text1"/>
          <w:sz w:val="28"/>
          <w:szCs w:val="28"/>
        </w:rPr>
        <w:tab/>
        <w:t xml:space="preserve">По результатам проведения контрольных (надзорных) мероприятий  публичная оценка уровня соблюдения обязательных требований                             не присваивается.</w:t>
      </w:r>
    </w:p>
    <w:p>
      <w:pPr>
        <w:pStyle w:val="a3"/>
        <w:ind w:left="0"/>
        <w:jc w:val="both"/>
      </w:pPr>
      <w:r>
        <w:rPr>
          <w:bCs/>
          <w:color w:val="3333ff"/>
          <w:sz w:val="28"/>
          <w:szCs w:val="28"/>
        </w:rPr>
        <w:tab/>
      </w:r>
      <w:r>
        <w:rPr>
          <w:bCs/>
          <w:color w:val="000000" w:themeColor="text1"/>
          <w:sz w:val="28"/>
          <w:szCs w:val="28"/>
        </w:rPr>
        <w:t xml:space="preserve">4</w:t>
      </w:r>
      <w:r>
        <w:rPr>
          <w:rFonts w:eastAsia="Calibri"/>
          <w:bCs/>
          <w:iCs/>
          <w:color w:val="000000" w:themeColor="text1"/>
          <w:sz w:val="28"/>
          <w:szCs w:val="28"/>
        </w:rPr>
        <w:t xml:space="preserve">.</w:t>
      </w:r>
      <w:r>
        <w:rPr>
          <w:rFonts w:eastAsia="Calibri"/>
          <w:bCs/>
          <w:iCs/>
          <w:sz w:val="28"/>
          <w:szCs w:val="28"/>
        </w:rPr>
        <w:t xml:space="preserve">2.</w:t>
      </w:r>
      <w:r>
        <w:rPr>
          <w:rFonts w:eastAsia="Calibri"/>
          <w:bCs/>
          <w:iCs/>
          <w:sz w:val="28"/>
          <w:szCs w:val="28"/>
        </w:rPr>
        <w:tab/>
        <w:t xml:space="preserve">В рамках осуществления </w:t>
      </w:r>
      <w:r>
        <w:rPr>
          <w:rFonts w:eastAsia="Calibri"/>
          <w:sz w:val="28"/>
          <w:szCs w:val="28"/>
        </w:rPr>
        <w:t xml:space="preserve">муниципального контроля                              при взаимодействии с контролируемым лицом</w:t>
      </w:r>
      <w:r>
        <w:rPr>
          <w:rFonts w:eastAsia="Calibri"/>
          <w:bCs/>
          <w:iCs/>
          <w:sz w:val="28"/>
          <w:szCs w:val="28"/>
        </w:rPr>
        <w:t xml:space="preserve"> проводятся следующие контрольные мероприятия:</w:t>
      </w:r>
    </w:p>
    <w:p>
      <w:pPr>
        <w:pStyle w:val="a3"/>
        <w:tabs>
          <w:tab w:val="left" w:pos="1134"/>
        </w:tabs>
        <w:ind w:left="0" w:firstLine="737"/>
        <w:jc w:val="both"/>
      </w:pPr>
      <w:r>
        <w:rPr>
          <w:rFonts w:eastAsia="Calibri"/>
          <w:sz w:val="28"/>
          <w:szCs w:val="28"/>
        </w:rPr>
        <w:t xml:space="preserve">а) инспекционный визит;</w:t>
      </w:r>
    </w:p>
    <w:p>
      <w:pPr>
        <w:pStyle w:val="a3"/>
        <w:tabs>
          <w:tab w:val="left" w:pos="1134"/>
        </w:tabs>
        <w:ind w:left="0" w:firstLine="737"/>
        <w:jc w:val="both"/>
      </w:pPr>
      <w:r>
        <w:rPr>
          <w:rFonts w:eastAsia="Calibri"/>
          <w:sz w:val="28"/>
          <w:szCs w:val="28"/>
        </w:rPr>
        <w:t xml:space="preserve">б) документарная проверка;</w:t>
      </w:r>
    </w:p>
    <w:p>
      <w:pPr>
        <w:pStyle w:val="a3"/>
        <w:tabs>
          <w:tab w:val="left" w:pos="1134"/>
        </w:tabs>
        <w:ind w:left="0" w:firstLine="737"/>
        <w:jc w:val="both"/>
      </w:pPr>
      <w:r>
        <w:rPr>
          <w:rFonts w:eastAsia="Calibri"/>
          <w:sz w:val="28"/>
          <w:szCs w:val="28"/>
        </w:rPr>
        <w:t xml:space="preserve">в) выездная проверка.</w:t>
      </w:r>
    </w:p>
    <w:p>
      <w:pPr>
        <w:jc w:val="both"/>
      </w:pPr>
      <w:r>
        <w:rPr>
          <w:rFonts w:eastAsia="Calibri"/>
          <w:sz w:val="28"/>
          <w:szCs w:val="28"/>
        </w:rPr>
        <w:tab/>
        <w:t xml:space="preserve">4.3.</w:t>
      </w:r>
      <w:r>
        <w:rPr>
          <w:rFonts w:eastAsia="Calibri"/>
          <w:sz w:val="16"/>
          <w:szCs w:val="16"/>
        </w:rPr>
        <w:tab/>
      </w:r>
      <w:r>
        <w:rPr>
          <w:rFonts w:eastAsia="Calibri"/>
          <w:sz w:val="28"/>
          <w:szCs w:val="28"/>
        </w:rPr>
        <w:t xml:space="preserve">Без взаимодействия с контролируемым лицом проводятся  следующие контрольные мероприятия (далее - контрольные мероприятия               без взаимодействия):</w:t>
      </w:r>
    </w:p>
    <w:p>
      <w:pPr>
        <w:jc w:val="both"/>
        <w:rPr>
          <w:sz w:val="28"/>
          <w:szCs w:val="28"/>
        </w:rPr>
      </w:pPr>
      <w:r>
        <w:rPr>
          <w:rFonts w:eastAsia="Calibri"/>
          <w:sz w:val="28"/>
          <w:szCs w:val="28"/>
        </w:rPr>
        <w:tab/>
        <w:t xml:space="preserve">а) наблюдение за соблюдением обязательных требований (мониторинг безопасности);</w:t>
      </w:r>
    </w:p>
    <w:p>
      <w:pPr>
        <w:jc w:val="both"/>
        <w:rPr>
          <w:color w:val="000000" w:themeColor="text1"/>
          <w:sz w:val="28"/>
          <w:szCs w:val="28"/>
        </w:rPr>
      </w:pPr>
      <w:r>
        <w:rPr>
          <w:rFonts w:eastAsia="Calibri"/>
          <w:sz w:val="28"/>
          <w:szCs w:val="28"/>
        </w:rPr>
        <w:tab/>
        <w:t xml:space="preserve">б)</w:t>
      </w:r>
      <w:r>
        <w:rPr>
          <w:rFonts w:eastAsia="Calibri"/>
          <w:color w:val="000000" w:themeColor="text1"/>
          <w:sz w:val="28"/>
          <w:szCs w:val="28"/>
        </w:rPr>
        <w:t xml:space="preserve"> выездное обследование.</w:t>
      </w:r>
    </w:p>
    <w:p>
      <w:pPr>
        <w:jc w:val="both"/>
        <w:rPr>
          <w:color w:val="000000" w:themeColor="text1"/>
          <w:sz w:val="28"/>
          <w:szCs w:val="28"/>
        </w:rPr>
      </w:pPr>
      <w:r>
        <w:rPr>
          <w:color w:val="000000" w:themeColor="text1"/>
          <w:sz w:val="28"/>
          <w:szCs w:val="28"/>
        </w:rPr>
        <w:tab/>
        <w:t xml:space="preserve">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w:t>
      </w:r>
    </w:p>
    <w:p>
      <w:pPr>
        <w:pStyle w:val="a3"/>
        <w:tabs>
          <w:tab w:val="left" w:pos="1134"/>
        </w:tabs>
        <w:ind w:left="0" w:firstLine="737"/>
        <w:jc w:val="both"/>
      </w:pPr>
      <w:r>
        <w:rPr>
          <w:rFonts w:eastAsia="Calibri"/>
          <w:color w:val="000000"/>
          <w:sz w:val="28"/>
          <w:szCs w:val="28"/>
        </w:rPr>
        <w:t xml:space="preserve">4.4</w:t>
      </w:r>
      <w:r>
        <w:rPr>
          <w:rFonts w:eastAsia="Calibri"/>
          <w:sz w:val="28"/>
          <w:szCs w:val="28"/>
        </w:rPr>
        <w:t xml:space="preserve">. Для проведения контрольного мероприятия, </w:t>
      </w:r>
      <w:r>
        <w:rPr>
          <w:rFonts w:eastAsia="Calibri"/>
          <w:color w:val="000000" w:themeColor="text1"/>
          <w:sz w:val="28"/>
          <w:szCs w:val="28"/>
        </w:rPr>
        <w:t xml:space="preserve">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должностным лицо контрольного органа, в котором указываются сведени</w:t>
      </w:r>
      <w:r>
        <w:rPr>
          <w:rFonts w:eastAsia="Calibri"/>
          <w:sz w:val="28"/>
          <w:szCs w:val="28"/>
        </w:rPr>
        <w:t xml:space="preserve">я, предусмотренные частью 1 статьи 64 Федерального закона № 248-ФЗ.</w:t>
      </w:r>
    </w:p>
    <w:p>
      <w:pPr>
        <w:pStyle w:val="a3"/>
        <w:tabs>
          <w:tab w:val="left" w:pos="1134"/>
        </w:tabs>
        <w:ind w:left="0" w:firstLine="737"/>
        <w:jc w:val="both"/>
      </w:pPr>
      <w:r>
        <w:rPr>
          <w:rFonts w:eastAsia="Calibri"/>
          <w:sz w:val="28"/>
          <w:szCs w:val="28"/>
        </w:rPr>
        <w:t xml:space="preserve">4.5.</w:t>
      </w:r>
      <w:r>
        <w:rPr>
          <w:rFonts w:eastAsia="Calibri"/>
          <w:sz w:val="28"/>
          <w:szCs w:val="28"/>
        </w:rPr>
        <w:tab/>
      </w:r>
      <w:r>
        <w:rPr>
          <w:color w:val="000000" w:themeColor="text1"/>
          <w:sz w:val="28"/>
          <w:szCs w:val="28"/>
        </w:rPr>
        <w:t xml:space="preserve">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по основаниям, предусмотренным</w:t>
      </w:r>
      <w:hyperlink r:id="rId20" w:tooltip="https://login.consultant.ru/link/?req=doc&amp;base=LAW&amp;n=495001&amp;dst=101175" w:history="1">
        <w:r>
          <w:rPr>
            <w:rStyle w:val="-"/>
            <w:color w:val="000000" w:themeColor="text1"/>
            <w:sz w:val="28"/>
            <w:szCs w:val="28"/>
            <w:u w:val="none"/>
          </w:rPr>
          <w:t xml:space="preserve"> статьей 57</w:t>
        </w:r>
      </w:hyperlink>
      <w:r>
        <w:rPr>
          <w:color w:val="000000" w:themeColor="text1"/>
          <w:sz w:val="28"/>
          <w:szCs w:val="28"/>
        </w:rPr>
        <w:t xml:space="preserve"> Федерального закона № 248-ФЗ.</w:t>
      </w:r>
    </w:p>
    <w:p>
      <w:pPr>
        <w:jc w:val="both"/>
        <w:rPr>
          <w:color w:val="000000" w:themeColor="text1"/>
        </w:rPr>
      </w:pPr>
      <w:r>
        <w:rPr>
          <w:color w:val="ff3333"/>
          <w:sz w:val="28"/>
          <w:szCs w:val="28"/>
        </w:rPr>
        <w:tab/>
      </w:r>
      <w:r>
        <w:rPr>
          <w:color w:val="000000" w:themeColor="text1"/>
          <w:sz w:val="28"/>
          <w:szCs w:val="28"/>
        </w:rPr>
        <w:t xml:space="preserve">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на основании решения контрольного органа, подписанного </w:t>
      </w:r>
      <w:r>
        <w:rPr>
          <w:color w:val="000000" w:themeColor="text1"/>
          <w:sz w:val="28"/>
          <w:szCs w:val="28"/>
        </w:rPr>
        <w:t xml:space="preserve">уполномоченным должностным лицом, указанным в </w:t>
      </w:r>
      <w:hyperlink r:id="rId21" w:tooltip="https://login.consultant.ru/link/?req=doc&amp;base=RLAW072&amp;n=193519&amp;dst=100037" w:history="1">
        <w:r>
          <w:rPr>
            <w:rStyle w:val="-"/>
            <w:color w:val="000000" w:themeColor="text1"/>
            <w:sz w:val="28"/>
            <w:szCs w:val="28"/>
            <w:u w:val="none"/>
          </w:rPr>
          <w:t xml:space="preserve">пункте 1.7</w:t>
        </w:r>
      </w:hyperlink>
      <w:r>
        <w:rPr>
          <w:color w:val="000000" w:themeColor="text1"/>
          <w:sz w:val="28"/>
          <w:szCs w:val="28"/>
        </w:rPr>
        <w:t xml:space="preserve"> Положения.            В решении о проведении контрольного (надзорного) мероприятия указываются сведения, установленные </w:t>
      </w:r>
      <w:hyperlink r:id="rId22" w:tooltip="https://login.consultant.ru/link/?req=doc&amp;base=LAW&amp;n=495001&amp;dst=101176" w:history="1">
        <w:r>
          <w:rPr>
            <w:rStyle w:val="-"/>
            <w:color w:val="000000" w:themeColor="text1"/>
            <w:sz w:val="28"/>
            <w:szCs w:val="28"/>
            <w:u w:val="none"/>
          </w:rPr>
          <w:t xml:space="preserve">частью 1 статьи 64</w:t>
        </w:r>
      </w:hyperlink>
      <w:r>
        <w:rPr>
          <w:color w:val="000000" w:themeColor="text1"/>
          <w:sz w:val="28"/>
          <w:szCs w:val="28"/>
        </w:rPr>
        <w:t xml:space="preserve"> Федерального закона № 248-ФЗ.</w:t>
      </w:r>
    </w:p>
    <w:p>
      <w:pPr>
        <w:pStyle w:val="a3"/>
        <w:tabs>
          <w:tab w:val="left" w:pos="1134"/>
        </w:tabs>
        <w:ind w:left="0" w:firstLine="737"/>
        <w:jc w:val="both"/>
      </w:pPr>
      <w:r>
        <w:rPr>
          <w:rFonts w:eastAsia="Calibri"/>
          <w:sz w:val="28"/>
          <w:szCs w:val="28"/>
        </w:rPr>
        <w:t xml:space="preserve">4.6. При проведении контрольных мероприятий в рамках осуществления муниципального контроля должностное лицо контрольного органа имеет право:</w:t>
      </w:r>
    </w:p>
    <w:p>
      <w:pPr>
        <w:tabs>
          <w:tab w:val="left" w:pos="1134"/>
        </w:tabs>
        <w:ind w:firstLine="737"/>
        <w:jc w:val="both"/>
      </w:pPr>
      <w:r>
        <w:rPr>
          <w:rFonts w:eastAsia="Calibri"/>
          <w:sz w:val="28"/>
          <w:szCs w:val="28"/>
        </w:rPr>
        <w:t xml:space="preserve">а)</w:t>
      </w:r>
      <w:r>
        <w:rPr>
          <w:rFonts w:eastAsia="Calibri"/>
          <w:sz w:val="28"/>
          <w:szCs w:val="28"/>
        </w:rPr>
        <w:tab/>
        <w:t xml:space="preserve">совершать действия, предусмотренные частью 2 статьи 29 Федерального закона № 248-ФЗ;</w:t>
      </w:r>
    </w:p>
    <w:p>
      <w:pPr>
        <w:tabs>
          <w:tab w:val="left" w:pos="1134"/>
        </w:tabs>
        <w:ind w:firstLine="737"/>
        <w:jc w:val="both"/>
      </w:pPr>
      <w:r>
        <w:rPr>
          <w:rFonts w:eastAsia="Calibri"/>
          <w:sz w:val="28"/>
          <w:szCs w:val="28"/>
        </w:rPr>
        <w:t xml:space="preserve">б) использовать для фиксации доказательств нарушений обязательных требований фотосъемку, аудио- и (или) видеозапись, если совершение указанных действий не запрещено федеральными законами; </w:t>
      </w:r>
    </w:p>
    <w:p>
      <w:pPr>
        <w:tabs>
          <w:tab w:val="left" w:pos="1134"/>
        </w:tabs>
        <w:ind w:firstLine="737"/>
        <w:jc w:val="both"/>
        <w:rPr>
          <w:color w:val="000000" w:themeColor="text1"/>
        </w:rPr>
      </w:pPr>
      <w:r>
        <w:rPr>
          <w:rFonts w:eastAsia="Calibri"/>
          <w:sz w:val="28"/>
          <w:szCs w:val="28"/>
        </w:rPr>
        <w:t xml:space="preserve">в)</w:t>
      </w:r>
      <w:r>
        <w:rPr>
          <w:rFonts w:eastAsia="Calibri"/>
          <w:sz w:val="28"/>
          <w:szCs w:val="28"/>
        </w:rPr>
        <w:tab/>
        <w:t xml:space="preserve">выдавать предписания об устранении выявленных нарушений </w:t>
      </w:r>
      <w:r>
        <w:rPr>
          <w:sz w:val="28"/>
          <w:szCs w:val="28"/>
        </w:rPr>
        <w:t xml:space="preserve">обязательных требований </w:t>
      </w:r>
      <w:r>
        <w:rPr>
          <w:rFonts w:eastAsia="Calibri"/>
          <w:color w:val="000000" w:themeColor="text1"/>
          <w:sz w:val="28"/>
          <w:szCs w:val="28"/>
        </w:rPr>
        <w:t xml:space="preserve">с указанием сроков их устранения.</w:t>
      </w:r>
    </w:p>
    <w:p>
      <w:pPr>
        <w:pStyle w:val="a3"/>
        <w:tabs>
          <w:tab w:val="left" w:pos="1134"/>
        </w:tabs>
        <w:ind w:left="0" w:firstLine="737"/>
        <w:jc w:val="both"/>
      </w:pPr>
      <w:r>
        <w:rPr>
          <w:rFonts w:eastAsia="Calibri"/>
          <w:sz w:val="28"/>
          <w:szCs w:val="28"/>
        </w:rPr>
        <w:t xml:space="preserve">4.7. Контрольный орган (муниципальный служащий) в соответствии           со статьей 32 Федерального закона № 248-ФЗ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pPr>
        <w:pStyle w:val="a3"/>
        <w:ind w:left="0" w:firstLine="737"/>
        <w:jc w:val="both"/>
      </w:pPr>
      <w:r>
        <w:rPr>
          <w:rFonts w:eastAsia="Calibri"/>
          <w:sz w:val="28"/>
          <w:szCs w:val="28"/>
        </w:rPr>
        <w:t xml:space="preserve">4.8. Контрольный орган в соответствии со статьей 34 Федерального закона № 248-ФЗ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 </w:t>
      </w:r>
    </w:p>
    <w:p>
      <w:pPr>
        <w:pStyle w:val="a3"/>
        <w:tabs>
          <w:tab w:val="left" w:pos="1134"/>
        </w:tabs>
        <w:ind w:left="0" w:firstLine="737"/>
        <w:jc w:val="both"/>
      </w:pPr>
      <w:r>
        <w:rPr>
          <w:sz w:val="28"/>
          <w:szCs w:val="28"/>
        </w:rPr>
        <w:t xml:space="preserve">4.9.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w:t>
      </w:r>
      <w:r>
        <w:rPr>
          <w:color w:val="000000"/>
          <w:sz w:val="28"/>
          <w:szCs w:val="28"/>
        </w:rPr>
        <w:t xml:space="preserve">предусматривающего взаимодействие с контролируемым лицом, в порядке, предусмотренном </w:t>
      </w:r>
      <w:hyperlink r:id="rId23" w:tooltip="https://login.consultant.ru/link/?rnd=208493C66BF8748DD99574B4BA3AE6E1&amp;req=doc&amp;base=LAW&amp;n=386954&amp;dst=100229&amp;fld=134&amp;date=09.07.2021&amp;demo=2" w:history="1">
        <w:r>
          <w:rPr>
            <w:rStyle w:val="-"/>
            <w:color w:val="000000"/>
            <w:sz w:val="28"/>
            <w:szCs w:val="28"/>
            <w:u w:val="none"/>
          </w:rPr>
          <w:t xml:space="preserve">частями 4</w:t>
        </w:r>
      </w:hyperlink>
      <w:r>
        <w:rPr>
          <w:color w:val="000000"/>
          <w:sz w:val="28"/>
          <w:szCs w:val="28"/>
        </w:rPr>
        <w:t xml:space="preserve"> и </w:t>
      </w:r>
      <w:hyperlink r:id="rId24" w:tooltip="https://login.consultant.ru/link/?rnd=208493C66BF8748DD99574B4BA3AE6E1&amp;req=doc&amp;base=LAW&amp;n=386954&amp;dst=100230&amp;fld=134&amp;date=09.07.2021&amp;demo=2" w:history="1">
        <w:r>
          <w:rPr>
            <w:rStyle w:val="-"/>
            <w:color w:val="000000"/>
            <w:sz w:val="28"/>
            <w:szCs w:val="28"/>
            <w:u w:val="none"/>
          </w:rPr>
          <w:t xml:space="preserve">5 статьи 21</w:t>
        </w:r>
      </w:hyperlink>
      <w:r>
        <w:rPr>
          <w:color w:val="000000"/>
          <w:sz w:val="28"/>
          <w:szCs w:val="28"/>
        </w:rPr>
        <w:t xml:space="preserve"> </w:t>
      </w:r>
      <w:r>
        <w:rPr>
          <w:rFonts w:eastAsia="Calibri"/>
          <w:color w:val="000000"/>
          <w:sz w:val="28"/>
          <w:szCs w:val="28"/>
        </w:rPr>
        <w:t xml:space="preserve">Федерального закона № 248-ФЗ</w:t>
      </w:r>
      <w:r>
        <w:rPr>
          <w:color w:val="000000"/>
          <w:sz w:val="28"/>
          <w:szCs w:val="28"/>
        </w:rPr>
        <w:t xml:space="preserve">. В этом случае муниципальный служащий</w:t>
      </w:r>
      <w:r>
        <w:rPr>
          <w:sz w:val="28"/>
          <w:szCs w:val="28"/>
        </w:rPr>
        <w:t xml:space="preserve">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w:t>
      </w:r>
      <w:r>
        <w:rPr>
          <w:color w:val="000000"/>
          <w:sz w:val="28"/>
          <w:szCs w:val="28"/>
        </w:rPr>
        <w:t xml:space="preserve">м. </w:t>
      </w:r>
    </w:p>
    <w:p>
      <w:pPr>
        <w:pStyle w:val="a3"/>
        <w:tabs>
          <w:tab w:val="left" w:pos="1134"/>
        </w:tabs>
        <w:ind w:left="0" w:firstLine="737"/>
        <w:jc w:val="both"/>
      </w:pPr>
      <w:r>
        <w:rPr>
          <w:rFonts w:eastAsia="Calibri"/>
          <w:sz w:val="28"/>
          <w:szCs w:val="28"/>
        </w:rPr>
        <w:t xml:space="preserve">4.10.</w:t>
      </w:r>
      <w:r>
        <w:rPr>
          <w:rFonts w:eastAsia="Calibri"/>
          <w:sz w:val="28"/>
          <w:szCs w:val="28"/>
        </w:rPr>
        <w:tab/>
        <w:t xml:space="preserve">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w:t>
      </w:r>
    </w:p>
    <w:p>
      <w:pPr>
        <w:pStyle w:val="a3"/>
        <w:tabs>
          <w:tab w:val="left" w:pos="1134"/>
        </w:tabs>
        <w:ind w:left="0" w:firstLine="737"/>
        <w:jc w:val="both"/>
      </w:pPr>
      <w:r>
        <w:rPr>
          <w:rFonts w:eastAsia="Calibri"/>
          <w:sz w:val="28"/>
          <w:szCs w:val="28"/>
        </w:rPr>
        <w:t xml:space="preserve">4.11.</w:t>
      </w:r>
      <w:r>
        <w:rPr>
          <w:rFonts w:eastAsia="Calibri"/>
          <w:sz w:val="28"/>
          <w:szCs w:val="28"/>
        </w:rPr>
        <w:tab/>
        <w:t xml:space="preserve">В случаях отсутствия контролируемого лица либо его представителя, </w:t>
      </w:r>
      <w:r>
        <w:rPr>
          <w:rFonts w:eastAsia="Calibri"/>
          <w:color w:val="000000" w:themeColor="text1"/>
          <w:sz w:val="28"/>
          <w:szCs w:val="28"/>
        </w:rPr>
        <w:t xml:space="preserve">предоставления контролируемым лицом информации </w:t>
      </w:r>
      <w:r>
        <w:rPr>
          <w:rFonts w:eastAsia="Calibri"/>
          <w:color w:val="000000" w:themeColor="text1"/>
          <w:sz w:val="28"/>
          <w:szCs w:val="28"/>
        </w:rPr>
        <w:t xml:space="preserve">контрольному органу о невозможности присутствия при проведении контрольного мероприятия в соответствии с требованиями, определенными пунктом 4.19 Положения, контрольные действия совершаются, если оценка соблюдения обязательных требований</w:t>
      </w:r>
      <w:r>
        <w:rPr>
          <w:rFonts w:eastAsia="Calibri"/>
          <w:sz w:val="28"/>
          <w:szCs w:val="28"/>
        </w:rPr>
        <w:t xml:space="preserve">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pPr>
        <w:pStyle w:val="a3"/>
        <w:tabs>
          <w:tab w:val="left" w:pos="1134"/>
        </w:tabs>
        <w:ind w:left="0" w:firstLine="737"/>
        <w:jc w:val="both"/>
      </w:pPr>
      <w:r>
        <w:rPr>
          <w:rFonts w:eastAsia="Calibri"/>
          <w:sz w:val="28"/>
          <w:szCs w:val="28"/>
        </w:rPr>
        <w:t xml:space="preserve">4.12.</w:t>
      </w:r>
      <w:r>
        <w:rPr>
          <w:rFonts w:eastAsia="Calibri"/>
          <w:sz w:val="28"/>
          <w:szCs w:val="28"/>
        </w:rPr>
        <w:tab/>
        <w:t xml:space="preserve">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pPr>
        <w:pStyle w:val="a3"/>
        <w:tabs>
          <w:tab w:val="left" w:pos="1134"/>
        </w:tabs>
        <w:ind w:left="0" w:firstLine="737"/>
        <w:jc w:val="both"/>
      </w:pPr>
      <w:r>
        <w:rPr>
          <w:rFonts w:eastAsia="Calibri"/>
          <w:sz w:val="28"/>
          <w:szCs w:val="28"/>
        </w:rPr>
        <w:t xml:space="preserve">- сведений, отнесенных законодательством Российской Федерации                  к государственной тайне;</w:t>
      </w:r>
    </w:p>
    <w:p>
      <w:pPr>
        <w:tabs>
          <w:tab w:val="left" w:pos="1134"/>
        </w:tabs>
        <w:jc w:val="both"/>
      </w:pPr>
      <w:r>
        <w:rPr>
          <w:rFonts w:eastAsia="Calibri"/>
          <w:sz w:val="28"/>
          <w:szCs w:val="28"/>
        </w:rPr>
        <w:t xml:space="preserve">           - объектов, территорий, которые законодательством Российской Федерации отнесены к режимным и особо важным объектам.</w:t>
      </w:r>
    </w:p>
    <w:p>
      <w:pPr>
        <w:jc w:val="both"/>
      </w:pPr>
      <w:r>
        <w:rPr>
          <w:rFonts w:eastAsia="Calibri"/>
          <w:sz w:val="28"/>
          <w:szCs w:val="28"/>
        </w:rPr>
        <w:tab/>
        <w:t xml:space="preserve">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pPr>
        <w:jc w:val="both"/>
        <w:rPr>
          <w:color w:val="000000" w:themeColor="text1"/>
        </w:rPr>
      </w:pPr>
      <w:r>
        <w:rPr>
          <w:rFonts w:eastAsia="Calibri"/>
          <w:color w:val="ff3333"/>
          <w:sz w:val="28"/>
          <w:szCs w:val="28"/>
        </w:rPr>
        <w:tab/>
      </w:r>
      <w:r>
        <w:rPr>
          <w:rFonts w:eastAsia="Calibri"/>
          <w:color w:val="000000" w:themeColor="text1"/>
          <w:sz w:val="28"/>
          <w:szCs w:val="28"/>
        </w:rPr>
        <w:t xml:space="preserve">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(надзорных) мероприятий принимается должностным лицом, уполномоченным                           на проведение контрольного (надзорного) мероприятия, самостоятельно.</w:t>
      </w:r>
    </w:p>
    <w:p>
      <w:pPr>
        <w:pStyle w:val="a3"/>
        <w:tabs>
          <w:tab w:val="left" w:pos="1134"/>
        </w:tabs>
        <w:ind w:left="0" w:firstLine="737"/>
        <w:jc w:val="both"/>
      </w:pPr>
      <w:r>
        <w:rPr>
          <w:rFonts w:eastAsia="Calibri"/>
          <w:sz w:val="28"/>
          <w:szCs w:val="28"/>
        </w:rPr>
        <w:t xml:space="preserve">4.13. 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 248-ФЗ,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w:t>
      </w:r>
      <w:r>
        <w:rPr>
          <w:sz w:val="28"/>
          <w:szCs w:val="28"/>
        </w:rPr>
        <w:t xml:space="preserve">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pPr>
        <w:jc w:val="both"/>
        <w:rPr>
          <w:sz w:val="28"/>
          <w:szCs w:val="28"/>
        </w:rPr>
      </w:pPr>
      <w:r>
        <w:rPr>
          <w:rFonts w:eastAsia="Calibri"/>
          <w:sz w:val="28"/>
          <w:szCs w:val="28"/>
        </w:rPr>
        <w:tab/>
        <w:t xml:space="preserve">Наблюдение за соблюдением обязательных требований (мониторинг безопасности) осуществляется по месту нахождения инспектора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w:t>
      </w:r>
    </w:p>
    <w:p>
      <w:pPr>
        <w:jc w:val="both"/>
        <w:rPr>
          <w:color w:val="000000" w:themeColor="text1"/>
        </w:rPr>
      </w:pPr>
      <w:r>
        <w:rPr>
          <w:rFonts w:eastAsia="Calibri"/>
          <w:color w:val="ff3333"/>
          <w:sz w:val="28"/>
          <w:szCs w:val="28"/>
        </w:rPr>
        <w:tab/>
      </w:r>
      <w:r>
        <w:rPr>
          <w:rFonts w:eastAsia="Calibri"/>
          <w:color w:val="000000" w:themeColor="text1"/>
          <w:sz w:val="28"/>
          <w:szCs w:val="28"/>
        </w:rPr>
        <w:t xml:space="preserve">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pPr>
        <w:jc w:val="both"/>
        <w:rPr>
          <w:color w:val="000000" w:themeColor="text1"/>
        </w:rPr>
      </w:pPr>
      <w:r>
        <w:rPr>
          <w:rFonts w:eastAsia="Calibri"/>
          <w:color w:val="000000" w:themeColor="text1"/>
          <w:sz w:val="28"/>
          <w:szCs w:val="28"/>
        </w:rPr>
        <w:tab/>
        <w:t xml:space="preserve">По результатам мониторинга безопасности</w:t>
      </w:r>
      <w:r>
        <w:rPr>
          <w:color w:val="000000" w:themeColor="text1"/>
          <w:sz w:val="28"/>
          <w:szCs w:val="28"/>
        </w:rPr>
        <w:t xml:space="preserve"> контрольным органом могут быть приняты  решения, предусмотренные частью 3 статьи 74 Федерального закона № 248-ФЗ.</w:t>
      </w:r>
    </w:p>
    <w:p>
      <w:pPr>
        <w:pStyle w:val="a3"/>
        <w:ind w:left="0"/>
        <w:jc w:val="both"/>
        <w:rPr>
          <w:color w:val="000000" w:themeColor="text1"/>
        </w:rPr>
      </w:pPr>
      <w:r>
        <w:rPr>
          <w:color w:val="ff3333"/>
          <w:sz w:val="28"/>
          <w:szCs w:val="28"/>
        </w:rPr>
        <w:tab/>
      </w:r>
      <w:r>
        <w:rPr>
          <w:color w:val="000000" w:themeColor="text1"/>
          <w:sz w:val="28"/>
          <w:szCs w:val="28"/>
        </w:rPr>
        <w:t xml:space="preserve">4.14.</w:t>
      </w:r>
      <w:r>
        <w:rPr>
          <w:color w:val="000000" w:themeColor="text1"/>
          <w:sz w:val="28"/>
          <w:szCs w:val="28"/>
        </w:rPr>
        <w:tab/>
        <w:t xml:space="preserve">Выездное обследование проводится в порядке, установленном статьей 75 Федерального закона № 248-ФЗ.</w:t>
      </w:r>
    </w:p>
    <w:p>
      <w:pPr>
        <w:pStyle w:val="a3"/>
        <w:ind w:left="0"/>
        <w:jc w:val="both"/>
        <w:rPr>
          <w:color w:val="000000" w:themeColor="text1"/>
        </w:rPr>
      </w:pPr>
      <w:r>
        <w:rPr>
          <w:color w:val="000000" w:themeColor="text1"/>
          <w:sz w:val="28"/>
          <w:szCs w:val="28"/>
        </w:rPr>
        <w:tab/>
        <w:t xml:space="preserve">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pPr>
        <w:jc w:val="both"/>
        <w:rPr>
          <w:color w:val="000000" w:themeColor="text1"/>
        </w:rPr>
      </w:pPr>
      <w:r>
        <w:rPr>
          <w:color w:val="000000" w:themeColor="text1"/>
          <w:sz w:val="28"/>
          <w:szCs w:val="28"/>
        </w:rPr>
        <w:tab/>
        <w:t xml:space="preserve">- осмотр;</w:t>
      </w:r>
    </w:p>
    <w:p>
      <w:pPr>
        <w:jc w:val="both"/>
        <w:rPr>
          <w:color w:val="000000" w:themeColor="text1"/>
        </w:rPr>
      </w:pPr>
      <w:r>
        <w:rPr>
          <w:color w:val="000000" w:themeColor="text1"/>
          <w:sz w:val="28"/>
          <w:szCs w:val="28"/>
        </w:rPr>
        <w:tab/>
        <w:t xml:space="preserve">- инструментальное обследование (с применением видеозаписи);</w:t>
      </w:r>
    </w:p>
    <w:p>
      <w:pPr>
        <w:jc w:val="both"/>
        <w:rPr>
          <w:color w:val="000000" w:themeColor="text1"/>
        </w:rPr>
      </w:pPr>
      <w:r>
        <w:rPr>
          <w:color w:val="000000" w:themeColor="text1"/>
          <w:sz w:val="28"/>
          <w:szCs w:val="28"/>
        </w:rPr>
        <w:tab/>
        <w:t xml:space="preserve">- испытание.</w:t>
      </w:r>
    </w:p>
    <w:p>
      <w:pPr>
        <w:jc w:val="both"/>
        <w:rPr>
          <w:color w:val="000000" w:themeColor="text1"/>
        </w:rPr>
      </w:pPr>
      <w:r>
        <w:rPr>
          <w:color w:val="000000" w:themeColor="text1"/>
          <w:sz w:val="28"/>
          <w:szCs w:val="28"/>
        </w:rPr>
        <w:tab/>
        <w:t xml:space="preserve">Кроме случаев, установленных частью 2, частью 3 статьи 87 Федерального закона № 248-ФЗ </w:t>
      </w:r>
      <w:r>
        <w:rPr>
          <w:color w:val="000000" w:themeColor="text1"/>
          <w:sz w:val="28"/>
          <w:szCs w:val="28"/>
          <w:highlight w:val="white"/>
        </w:rPr>
        <w:t xml:space="preserve">(с</w:t>
      </w:r>
      <w:r>
        <w:rPr>
          <w:color w:val="000000" w:themeColor="text1"/>
          <w:sz w:val="28"/>
          <w:highlight w:val="white"/>
        </w:rPr>
        <w:t xml:space="preserve"> 01.09.2025 г. вносятся изменения (</w:t>
      </w:r>
      <w:hyperlink r:id="rId25" w:tooltip="https://www.consultant.ru/document/cons_doc_LAW_494826/3d0cac60971a511280cbba229d9b6329c07731f7/#dst100249" w:anchor="dst100249" w:history="1">
        <w:r>
          <w:rPr>
            <w:rStyle w:val="af0"/>
            <w:color w:val="000000" w:themeColor="text1"/>
            <w:sz w:val="28"/>
            <w:u w:val="none"/>
          </w:rPr>
          <w:t xml:space="preserve">Федеральный закон</w:t>
        </w:r>
      </w:hyperlink>
      <w:r>
        <w:rPr>
          <w:color w:val="000000" w:themeColor="text1"/>
          <w:sz w:val="28"/>
          <w:highlight w:val="white"/>
        </w:rPr>
        <w:t xml:space="preserve"> от 28.12.2024 г. № 540-ФЗ)</w:t>
      </w:r>
      <w:r>
        <w:rPr>
          <w:color w:val="000000" w:themeColor="text1"/>
          <w:sz w:val="28"/>
          <w:szCs w:val="28"/>
        </w:rPr>
        <w:t xml:space="preserve">, по результатам проведения контрольного (надзорного) мероприятия без взаимодействия акт контрольного (надзорного) мероприятия составляется в случае объявления предостережения о недопустимости нарушения обязательных требований.</w:t>
      </w:r>
    </w:p>
    <w:p>
      <w:pPr>
        <w:pStyle w:val="a3"/>
        <w:tabs>
          <w:tab w:val="left" w:pos="1134"/>
        </w:tabs>
        <w:ind w:left="0" w:firstLine="737"/>
        <w:jc w:val="both"/>
      </w:pPr>
      <w:r>
        <w:rPr>
          <w:rFonts w:eastAsia="Calibri"/>
          <w:bCs/>
          <w:sz w:val="28"/>
          <w:szCs w:val="28"/>
        </w:rPr>
        <w:t xml:space="preserve">4.15.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pPr>
        <w:jc w:val="both"/>
        <w:rPr>
          <w:sz w:val="28"/>
          <w:szCs w:val="28"/>
        </w:rPr>
      </w:pPr>
      <w:r>
        <w:rPr>
          <w:rFonts w:eastAsia="Calibri"/>
          <w:bCs/>
          <w:sz w:val="28"/>
          <w:szCs w:val="28"/>
        </w:rPr>
        <w:tab/>
        <w:t xml:space="preserve">В ходе инспекционного визита могут совершаться следующие контрольные (надзорные) действия:</w:t>
      </w:r>
    </w:p>
    <w:p>
      <w:pPr>
        <w:jc w:val="both"/>
        <w:rPr>
          <w:sz w:val="28"/>
          <w:szCs w:val="28"/>
        </w:rPr>
      </w:pPr>
      <w:r>
        <w:rPr>
          <w:rFonts w:eastAsia="Calibri"/>
          <w:bCs/>
          <w:sz w:val="28"/>
          <w:szCs w:val="28"/>
        </w:rPr>
        <w:tab/>
        <w:t xml:space="preserve">- осмотр;</w:t>
      </w:r>
    </w:p>
    <w:p>
      <w:pPr>
        <w:jc w:val="both"/>
        <w:rPr>
          <w:sz w:val="28"/>
          <w:szCs w:val="28"/>
        </w:rPr>
      </w:pPr>
      <w:r>
        <w:rPr>
          <w:rFonts w:eastAsia="Calibri"/>
          <w:bCs/>
          <w:sz w:val="28"/>
          <w:szCs w:val="28"/>
        </w:rPr>
        <w:tab/>
        <w:t xml:space="preserve">- опрос;</w:t>
      </w:r>
    </w:p>
    <w:p>
      <w:pPr>
        <w:jc w:val="both"/>
        <w:rPr>
          <w:sz w:val="28"/>
          <w:szCs w:val="28"/>
        </w:rPr>
      </w:pPr>
      <w:r>
        <w:rPr>
          <w:rFonts w:eastAsia="Calibri"/>
          <w:bCs/>
          <w:sz w:val="28"/>
          <w:szCs w:val="28"/>
        </w:rPr>
        <w:tab/>
        <w:t xml:space="preserve">- получение письменных объяснений;</w:t>
      </w:r>
    </w:p>
    <w:p>
      <w:pPr>
        <w:jc w:val="both"/>
      </w:pPr>
      <w:r>
        <w:rPr>
          <w:rFonts w:eastAsia="Calibri"/>
          <w:sz w:val="28"/>
          <w:szCs w:val="28"/>
        </w:rPr>
        <w:tab/>
        <w:t xml:space="preserve">- инструментальное обследование;</w:t>
      </w:r>
    </w:p>
    <w:p>
      <w:pPr>
        <w:jc w:val="both"/>
        <w:rPr>
          <w:sz w:val="28"/>
          <w:szCs w:val="28"/>
        </w:rPr>
      </w:pPr>
      <w:r>
        <w:rPr>
          <w:rFonts w:eastAsia="Calibri"/>
          <w:bCs/>
          <w:sz w:val="28"/>
          <w:szCs w:val="28"/>
        </w:rPr>
        <w:tab/>
        <w:t xml:space="preserve">-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pPr>
        <w:jc w:val="both"/>
        <w:rPr>
          <w:sz w:val="28"/>
          <w:szCs w:val="28"/>
        </w:rPr>
      </w:pPr>
      <w:r>
        <w:rPr>
          <w:rFonts w:eastAsia="Calibri"/>
          <w:bCs/>
          <w:sz w:val="28"/>
          <w:szCs w:val="28"/>
        </w:rPr>
        <w:tab/>
        <w:t xml:space="preserve">Инспекционный визит проводится без предварительного уведомления контролируемого лица и собственника производственного объекта.</w:t>
      </w:r>
    </w:p>
    <w:p>
      <w:pPr>
        <w:jc w:val="both"/>
      </w:pPr>
      <w:r>
        <w:rPr>
          <w:rFonts w:eastAsia="Calibri"/>
          <w:sz w:val="28"/>
          <w:szCs w:val="28"/>
        </w:rPr>
        <w:tab/>
        <w:t xml:space="preserve">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pPr>
        <w:jc w:val="both"/>
        <w:rPr>
          <w:color w:val="000000" w:themeColor="text1"/>
        </w:rPr>
      </w:pPr>
      <w:r>
        <w:rPr>
          <w:color w:val="ff3333"/>
          <w:sz w:val="28"/>
          <w:szCs w:val="28"/>
        </w:rPr>
        <w:tab/>
      </w:r>
      <w:r>
        <w:rPr>
          <w:color w:val="000000" w:themeColor="text1"/>
          <w:sz w:val="28"/>
          <w:szCs w:val="28"/>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6" w:tooltip="https://login.consultant.ru/link/?req=doc&amp;base=LAW&amp;n=495001&amp;dst=101410" w:history="1">
        <w:r>
          <w:rPr>
            <w:rStyle w:val="-"/>
            <w:color w:val="000000" w:themeColor="text1"/>
            <w:sz w:val="28"/>
            <w:szCs w:val="28"/>
            <w:u w:val="none"/>
          </w:rPr>
          <w:t xml:space="preserve">пунктами 3</w:t>
        </w:r>
      </w:hyperlink>
      <w:r>
        <w:rPr>
          <w:color w:val="000000" w:themeColor="text1"/>
          <w:sz w:val="28"/>
          <w:szCs w:val="28"/>
        </w:rPr>
        <w:t xml:space="preserve">, </w:t>
      </w:r>
      <w:hyperlink r:id="rId27" w:tooltip="https://login.consultant.ru/link/?req=doc&amp;base=LAW&amp;n=495001&amp;dst=100637" w:history="1">
        <w:r>
          <w:rPr>
            <w:rStyle w:val="-"/>
            <w:color w:val="000000" w:themeColor="text1"/>
            <w:sz w:val="28"/>
            <w:szCs w:val="28"/>
            <w:u w:val="none"/>
          </w:rPr>
          <w:t xml:space="preserve">4</w:t>
        </w:r>
      </w:hyperlink>
      <w:r>
        <w:rPr>
          <w:color w:val="000000" w:themeColor="text1"/>
          <w:sz w:val="28"/>
          <w:szCs w:val="28"/>
        </w:rPr>
        <w:t xml:space="preserve">, </w:t>
      </w:r>
      <w:hyperlink r:id="rId28" w:tooltip="https://login.consultant.ru/link/?req=doc&amp;base=LAW&amp;n=495001&amp;dst=100639" w:history="1">
        <w:r>
          <w:rPr>
            <w:rStyle w:val="-"/>
            <w:color w:val="000000" w:themeColor="text1"/>
            <w:sz w:val="28"/>
            <w:szCs w:val="28"/>
            <w:u w:val="none"/>
          </w:rPr>
          <w:t xml:space="preserve">6</w:t>
        </w:r>
      </w:hyperlink>
      <w:r>
        <w:rPr>
          <w:color w:val="000000" w:themeColor="text1"/>
          <w:sz w:val="28"/>
          <w:szCs w:val="28"/>
        </w:rPr>
        <w:t xml:space="preserve">, </w:t>
      </w:r>
      <w:hyperlink r:id="rId29" w:tooltip="https://login.consultant.ru/link/?req=doc&amp;base=LAW&amp;n=495001&amp;dst=101412" w:history="1">
        <w:r>
          <w:rPr>
            <w:rStyle w:val="-"/>
            <w:color w:val="000000" w:themeColor="text1"/>
            <w:sz w:val="28"/>
            <w:szCs w:val="28"/>
            <w:u w:val="none"/>
          </w:rPr>
          <w:t xml:space="preserve">8 части 1</w:t>
        </w:r>
      </w:hyperlink>
      <w:r>
        <w:rPr>
          <w:color w:val="000000" w:themeColor="text1"/>
          <w:sz w:val="28"/>
          <w:szCs w:val="28"/>
        </w:rPr>
        <w:t xml:space="preserve">, </w:t>
      </w:r>
      <w:hyperlink r:id="rId30" w:tooltip="https://login.consultant.ru/link/?req=doc&amp;base=LAW&amp;n=495001&amp;dst=101175" w:history="1">
        <w:r>
          <w:rPr>
            <w:rStyle w:val="-"/>
            <w:color w:val="000000" w:themeColor="text1"/>
            <w:sz w:val="28"/>
            <w:szCs w:val="28"/>
            <w:u w:val="none"/>
          </w:rPr>
          <w:t xml:space="preserve">частью 3 статьи 57</w:t>
        </w:r>
      </w:hyperlink>
      <w:r>
        <w:rPr>
          <w:color w:val="000000" w:themeColor="text1"/>
          <w:sz w:val="28"/>
          <w:szCs w:val="28"/>
        </w:rPr>
        <w:t xml:space="preserve">               и </w:t>
      </w:r>
      <w:hyperlink r:id="rId31" w:tooltip="https://login.consultant.ru/link/?req=doc&amp;base=LAW&amp;n=495001&amp;dst=100747" w:history="1">
        <w:r>
          <w:rPr>
            <w:rStyle w:val="-"/>
            <w:color w:val="000000" w:themeColor="text1"/>
            <w:sz w:val="28"/>
            <w:szCs w:val="28"/>
            <w:u w:val="none"/>
          </w:rPr>
          <w:t xml:space="preserve">частью 12 статьи 66</w:t>
        </w:r>
      </w:hyperlink>
      <w:r>
        <w:rPr>
          <w:color w:val="000000" w:themeColor="text1"/>
          <w:sz w:val="28"/>
          <w:szCs w:val="28"/>
        </w:rPr>
        <w:t xml:space="preserve"> Федерального закона № 248-ФЗ. </w:t>
      </w:r>
    </w:p>
    <w:p>
      <w:pPr>
        <w:pStyle w:val="a3"/>
        <w:tabs>
          <w:tab w:val="left" w:pos="1134"/>
        </w:tabs>
        <w:ind w:left="0" w:firstLine="737"/>
        <w:jc w:val="both"/>
      </w:pPr>
      <w:r>
        <w:rPr>
          <w:rFonts w:eastAsia="Calibri"/>
          <w:bCs/>
          <w:color w:val="000000"/>
          <w:sz w:val="28"/>
          <w:szCs w:val="28"/>
        </w:rPr>
        <w:t xml:space="preserve">4.16</w:t>
      </w:r>
      <w:r>
        <w:rPr>
          <w:rFonts w:eastAsia="Calibri"/>
          <w:color w:val="000000"/>
          <w:sz w:val="28"/>
          <w:szCs w:val="28"/>
        </w:rPr>
        <w:t xml:space="preserve">.</w:t>
      </w:r>
      <w:r>
        <w:rPr>
          <w:rFonts w:eastAsia="Calibri"/>
          <w:color w:val="000000"/>
          <w:sz w:val="28"/>
          <w:szCs w:val="28"/>
        </w:rPr>
        <w:tab/>
        <w:t xml:space="preserve">Документарная проверка проводится в порядке, установленном статьей 72 Федерального закона № 248-ФЗ.</w:t>
      </w:r>
    </w:p>
    <w:p>
      <w:pPr>
        <w:jc w:val="both"/>
        <w:rPr>
          <w:sz w:val="28"/>
          <w:szCs w:val="28"/>
        </w:rPr>
      </w:pPr>
      <w:r>
        <w:rPr>
          <w:rFonts w:eastAsia="Calibri"/>
          <w:sz w:val="28"/>
          <w:szCs w:val="28"/>
        </w:rPr>
        <w:tab/>
        <w:t xml:space="preserve">В ходе документарной проверки рассматриваются документы контролируемых лиц, имеющиеся в распоряжении </w:t>
      </w:r>
      <w:r>
        <w:rPr>
          <w:rFonts w:eastAsia="Calibri"/>
          <w:bCs/>
          <w:sz w:val="28"/>
          <w:szCs w:val="28"/>
        </w:rPr>
        <w:t xml:space="preserve">контрольного органа</w:t>
      </w:r>
      <w:r>
        <w:rPr>
          <w:rFonts w:eastAsia="Calibri"/>
          <w:sz w:val="28"/>
          <w:szCs w:val="28"/>
        </w:rPr>
        <w:t xml:space="preserve">,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pPr>
        <w:jc w:val="both"/>
        <w:rPr>
          <w:sz w:val="28"/>
          <w:szCs w:val="28"/>
        </w:rPr>
      </w:pPr>
      <w:r>
        <w:rPr>
          <w:rFonts w:eastAsia="Calibri"/>
          <w:sz w:val="28"/>
          <w:szCs w:val="28"/>
        </w:rPr>
        <w:tab/>
        <w:t xml:space="preserve">В ходе документарной проверки могут совершаться следующие контрольные  действия:</w:t>
      </w:r>
    </w:p>
    <w:p>
      <w:pPr>
        <w:jc w:val="both"/>
        <w:rPr>
          <w:sz w:val="28"/>
          <w:szCs w:val="28"/>
        </w:rPr>
      </w:pPr>
      <w:r>
        <w:rPr>
          <w:rFonts w:eastAsia="Calibri"/>
          <w:sz w:val="28"/>
          <w:szCs w:val="28"/>
        </w:rPr>
        <w:tab/>
        <w:t xml:space="preserve">- получение письменных объяснений;</w:t>
      </w:r>
    </w:p>
    <w:p>
      <w:pPr>
        <w:jc w:val="both"/>
        <w:rPr>
          <w:sz w:val="28"/>
          <w:szCs w:val="28"/>
        </w:rPr>
      </w:pPr>
      <w:r>
        <w:rPr>
          <w:rFonts w:eastAsia="Calibri"/>
          <w:sz w:val="28"/>
          <w:szCs w:val="28"/>
        </w:rPr>
        <w:tab/>
        <w:t xml:space="preserve">- истребование документов;</w:t>
      </w:r>
    </w:p>
    <w:p>
      <w:pPr>
        <w:jc w:val="both"/>
        <w:rPr>
          <w:sz w:val="28"/>
          <w:szCs w:val="28"/>
        </w:rPr>
      </w:pPr>
      <w:r>
        <w:rPr>
          <w:rFonts w:eastAsia="Calibri"/>
          <w:color w:val="ff3333"/>
          <w:sz w:val="28"/>
          <w:szCs w:val="28"/>
        </w:rPr>
        <w:tab/>
      </w:r>
      <w:r>
        <w:rPr>
          <w:rFonts w:eastAsia="Calibri"/>
          <w:color w:val="000000" w:themeColor="text1"/>
          <w:sz w:val="28"/>
          <w:szCs w:val="28"/>
        </w:rPr>
        <w:t xml:space="preserve">- экспертиза. </w:t>
      </w:r>
    </w:p>
    <w:p>
      <w:pPr>
        <w:jc w:val="both"/>
        <w:rPr>
          <w:sz w:val="28"/>
          <w:szCs w:val="28"/>
        </w:rPr>
      </w:pPr>
      <w:r>
        <w:rPr>
          <w:rFonts w:eastAsia="Calibri"/>
          <w:sz w:val="28"/>
          <w:szCs w:val="28"/>
        </w:rPr>
        <w:tab/>
        <w:t xml:space="preserve">Срок проведения документарной проверки не может превышать десять рабочих дней. В указанный срок не включается период с момента направления </w:t>
      </w:r>
      <w:r>
        <w:rPr>
          <w:rFonts w:eastAsia="Calibri"/>
          <w:bCs/>
          <w:sz w:val="28"/>
          <w:szCs w:val="28"/>
        </w:rPr>
        <w:t xml:space="preserve">контрольным органом</w:t>
      </w:r>
      <w:r>
        <w:rPr>
          <w:rFonts w:eastAsia="Calibri"/>
          <w:sz w:val="28"/>
          <w:szCs w:val="28"/>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Pr>
          <w:rFonts w:eastAsia="Calibri"/>
          <w:bCs/>
          <w:sz w:val="28"/>
          <w:szCs w:val="28"/>
        </w:rPr>
        <w:t xml:space="preserve">контрольный орган</w:t>
      </w:r>
      <w:r>
        <w:rPr>
          <w:rFonts w:eastAsia="Calibri"/>
          <w:sz w:val="28"/>
          <w:szCs w:val="28"/>
        </w:rPr>
        <w:t xml:space="preserve">, а также период с момента направления контролируемому лицу информации </w:t>
      </w:r>
      <w:r>
        <w:rPr>
          <w:rFonts w:eastAsia="Calibri"/>
          <w:bCs/>
          <w:sz w:val="28"/>
          <w:szCs w:val="28"/>
        </w:rPr>
        <w:t xml:space="preserve">контрольного органа</w:t>
      </w:r>
      <w:r>
        <w:rPr>
          <w:rFonts w:eastAsia="Calibri"/>
          <w:sz w:val="28"/>
          <w:szCs w:val="28"/>
        </w:rPr>
        <w:t xml:space="preserve">,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w:t>
      </w:r>
      <w:r>
        <w:rPr>
          <w:rFonts w:eastAsia="Calibri"/>
          <w:bCs/>
          <w:sz w:val="28"/>
          <w:szCs w:val="28"/>
        </w:rPr>
        <w:t xml:space="preserve">контрольного органа</w:t>
      </w:r>
      <w:r>
        <w:rPr>
          <w:rFonts w:eastAsia="Calibri"/>
          <w:sz w:val="28"/>
          <w:szCs w:val="28"/>
        </w:rPr>
        <w:t xml:space="preserve">,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Pr>
          <w:rFonts w:eastAsia="Calibri"/>
          <w:bCs/>
          <w:sz w:val="28"/>
          <w:szCs w:val="28"/>
        </w:rPr>
        <w:t xml:space="preserve">контрольный орган</w:t>
      </w:r>
      <w:r>
        <w:rPr>
          <w:rFonts w:eastAsia="Calibri"/>
          <w:sz w:val="28"/>
          <w:szCs w:val="28"/>
        </w:rPr>
        <w:t xml:space="preserve">.</w:t>
      </w:r>
    </w:p>
    <w:p>
      <w:pPr>
        <w:jc w:val="both"/>
        <w:rPr>
          <w:color w:val="000000" w:themeColor="text1"/>
        </w:rPr>
      </w:pPr>
      <w:r>
        <w:rPr>
          <w:sz w:val="28"/>
          <w:szCs w:val="28"/>
        </w:rPr>
        <w:tab/>
      </w:r>
      <w:r>
        <w:rPr>
          <w:color w:val="000000" w:themeColor="text1"/>
          <w:sz w:val="28"/>
          <w:szCs w:val="28"/>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32" w:tooltip="https://login.consultant.ru/link/?req=doc&amp;base=LAW&amp;n=495001&amp;dst=101410" w:history="1">
        <w:r>
          <w:rPr>
            <w:rStyle w:val="-"/>
            <w:color w:val="000000" w:themeColor="text1"/>
            <w:sz w:val="28"/>
            <w:szCs w:val="28"/>
            <w:u w:val="none"/>
          </w:rPr>
          <w:t xml:space="preserve">пунктами 3</w:t>
        </w:r>
      </w:hyperlink>
      <w:r>
        <w:rPr>
          <w:color w:val="000000" w:themeColor="text1"/>
          <w:sz w:val="28"/>
          <w:szCs w:val="28"/>
        </w:rPr>
        <w:t xml:space="preserve">, </w:t>
      </w:r>
      <w:hyperlink r:id="rId33" w:tooltip="https://login.consultant.ru/link/?req=doc&amp;base=LAW&amp;n=495001&amp;dst=100637" w:history="1">
        <w:r>
          <w:rPr>
            <w:rStyle w:val="-"/>
            <w:color w:val="000000" w:themeColor="text1"/>
            <w:sz w:val="28"/>
            <w:szCs w:val="28"/>
            <w:u w:val="none"/>
          </w:rPr>
          <w:t xml:space="preserve">4</w:t>
        </w:r>
      </w:hyperlink>
      <w:r>
        <w:rPr>
          <w:color w:val="000000" w:themeColor="text1"/>
          <w:sz w:val="28"/>
          <w:szCs w:val="28"/>
        </w:rPr>
        <w:t xml:space="preserve">, </w:t>
      </w:r>
      <w:hyperlink r:id="rId34" w:tooltip="https://login.consultant.ru/link/?req=doc&amp;base=LAW&amp;n=495001&amp;dst=100639" w:history="1">
        <w:r>
          <w:rPr>
            <w:rStyle w:val="-"/>
            <w:color w:val="000000" w:themeColor="text1"/>
            <w:sz w:val="28"/>
            <w:szCs w:val="28"/>
            <w:u w:val="none"/>
          </w:rPr>
          <w:t xml:space="preserve">6</w:t>
        </w:r>
      </w:hyperlink>
      <w:r>
        <w:rPr>
          <w:color w:val="000000" w:themeColor="text1"/>
          <w:sz w:val="28"/>
          <w:szCs w:val="28"/>
        </w:rPr>
        <w:t xml:space="preserve">, </w:t>
      </w:r>
      <w:hyperlink r:id="rId35" w:tooltip="https://login.consultant.ru/link/?req=doc&amp;base=LAW&amp;n=495001&amp;dst=101412" w:history="1">
        <w:r>
          <w:rPr>
            <w:rStyle w:val="-"/>
            <w:color w:val="000000" w:themeColor="text1"/>
            <w:sz w:val="28"/>
            <w:szCs w:val="28"/>
            <w:u w:val="none"/>
          </w:rPr>
          <w:t xml:space="preserve">8 части 1 статьи 57</w:t>
        </w:r>
      </w:hyperlink>
      <w:r>
        <w:rPr>
          <w:color w:val="000000" w:themeColor="text1"/>
          <w:sz w:val="28"/>
          <w:szCs w:val="28"/>
        </w:rPr>
        <w:t xml:space="preserve">  Федерального закона № 248-ФЗ. </w:t>
      </w:r>
    </w:p>
    <w:p>
      <w:pPr>
        <w:pStyle w:val="a3"/>
        <w:tabs>
          <w:tab w:val="left" w:pos="1134"/>
        </w:tabs>
        <w:ind w:left="0" w:firstLine="680"/>
        <w:jc w:val="both"/>
      </w:pPr>
      <w:r>
        <w:rPr>
          <w:rFonts w:eastAsia="Calibri"/>
          <w:color w:val="000000" w:themeColor="text1"/>
          <w:sz w:val="28"/>
          <w:szCs w:val="28"/>
        </w:rPr>
        <w:t xml:space="preserve">4.17. Выездна</w:t>
      </w:r>
      <w:r>
        <w:rPr>
          <w:rFonts w:eastAsia="Calibri"/>
          <w:sz w:val="28"/>
          <w:szCs w:val="28"/>
        </w:rPr>
        <w:t xml:space="preserve">я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pPr>
        <w:jc w:val="both"/>
      </w:pPr>
      <w:r>
        <w:rPr>
          <w:rFonts w:eastAsia="Calibri"/>
          <w:sz w:val="28"/>
          <w:szCs w:val="28"/>
        </w:rPr>
        <w:tab/>
        <w:t xml:space="preserve">В ходе выездной проверки могут совершаться следующие контрольные  действия:</w:t>
      </w:r>
    </w:p>
    <w:p>
      <w:pPr>
        <w:jc w:val="both"/>
        <w:rPr>
          <w:sz w:val="28"/>
          <w:szCs w:val="28"/>
        </w:rPr>
      </w:pPr>
      <w:r>
        <w:rPr>
          <w:rFonts w:eastAsia="Calibri"/>
          <w:sz w:val="28"/>
          <w:szCs w:val="28"/>
        </w:rPr>
        <w:tab/>
        <w:t xml:space="preserve">- осмотр;</w:t>
      </w:r>
    </w:p>
    <w:p>
      <w:pPr>
        <w:jc w:val="both"/>
        <w:rPr>
          <w:sz w:val="28"/>
          <w:szCs w:val="28"/>
        </w:rPr>
      </w:pPr>
      <w:r>
        <w:rPr>
          <w:rFonts w:eastAsia="Calibri"/>
          <w:sz w:val="28"/>
          <w:szCs w:val="28"/>
        </w:rPr>
        <w:tab/>
        <w:t xml:space="preserve">- досмотр;</w:t>
      </w:r>
    </w:p>
    <w:p>
      <w:pPr>
        <w:jc w:val="both"/>
        <w:rPr>
          <w:sz w:val="28"/>
          <w:szCs w:val="28"/>
        </w:rPr>
      </w:pPr>
      <w:r>
        <w:rPr>
          <w:rFonts w:eastAsia="Calibri"/>
          <w:sz w:val="28"/>
          <w:szCs w:val="28"/>
        </w:rPr>
        <w:tab/>
        <w:t xml:space="preserve">- опрос;</w:t>
      </w:r>
    </w:p>
    <w:p>
      <w:pPr>
        <w:jc w:val="both"/>
        <w:rPr>
          <w:sz w:val="28"/>
          <w:szCs w:val="28"/>
        </w:rPr>
      </w:pPr>
      <w:r>
        <w:rPr>
          <w:rFonts w:eastAsia="Calibri"/>
          <w:sz w:val="28"/>
          <w:szCs w:val="28"/>
        </w:rPr>
        <w:tab/>
        <w:t xml:space="preserve">- получение письменных объяснений;</w:t>
      </w:r>
    </w:p>
    <w:p>
      <w:pPr>
        <w:jc w:val="both"/>
        <w:rPr>
          <w:sz w:val="28"/>
          <w:szCs w:val="28"/>
        </w:rPr>
      </w:pPr>
      <w:r>
        <w:rPr>
          <w:rFonts w:eastAsia="Calibri"/>
          <w:sz w:val="28"/>
          <w:szCs w:val="28"/>
        </w:rPr>
        <w:tab/>
        <w:t xml:space="preserve">- истребование документов;</w:t>
      </w:r>
    </w:p>
    <w:p>
      <w:pPr>
        <w:jc w:val="both"/>
        <w:rPr>
          <w:sz w:val="28"/>
          <w:szCs w:val="28"/>
        </w:rPr>
      </w:pPr>
      <w:r>
        <w:rPr>
          <w:rFonts w:eastAsia="Calibri"/>
          <w:sz w:val="28"/>
          <w:szCs w:val="28"/>
        </w:rPr>
        <w:tab/>
        <w:t xml:space="preserve">- инструментальное обследование.</w:t>
      </w:r>
    </w:p>
    <w:p>
      <w:pPr>
        <w:tabs>
          <w:tab w:val="left" w:pos="567"/>
          <w:tab w:val="left" w:pos="850"/>
          <w:tab w:val="left" w:pos="992"/>
        </w:tabs>
        <w:jc w:val="both"/>
        <w:rPr>
          <w:color w:val="000000" w:themeColor="text1"/>
        </w:rPr>
      </w:pPr>
      <w:r>
        <w:rPr>
          <w:sz w:val="28"/>
          <w:szCs w:val="28"/>
        </w:rPr>
        <w:tab/>
        <w:t xml:space="preserve"> </w:t>
      </w:r>
      <w:r>
        <w:rPr>
          <w:color w:val="000000" w:themeColor="text1"/>
          <w:sz w:val="28"/>
          <w:szCs w:val="28"/>
        </w:rPr>
        <w:t xml:space="preserve">Внеплановая выездная проверка может проводиться только                            по согласованию с органами прокуратуры, за исключением случаев                          </w:t>
      </w:r>
      <w:r>
        <w:rPr>
          <w:color w:val="000000" w:themeColor="text1"/>
          <w:sz w:val="28"/>
          <w:szCs w:val="28"/>
        </w:rPr>
        <w:t xml:space="preserve">ее проведения в соответствии с </w:t>
      </w:r>
      <w:hyperlink r:id="rId36" w:tooltip="https://login.consultant.ru/link/?req=doc&amp;base=LAW&amp;n=495001&amp;dst=101410" w:history="1">
        <w:r>
          <w:rPr>
            <w:rStyle w:val="-"/>
            <w:color w:val="000000" w:themeColor="text1"/>
            <w:sz w:val="28"/>
            <w:szCs w:val="28"/>
            <w:u w:val="none"/>
          </w:rPr>
          <w:t xml:space="preserve">пунктами 3</w:t>
        </w:r>
      </w:hyperlink>
      <w:r>
        <w:rPr>
          <w:color w:val="000000" w:themeColor="text1"/>
          <w:sz w:val="28"/>
          <w:szCs w:val="28"/>
        </w:rPr>
        <w:t xml:space="preserve">, </w:t>
      </w:r>
      <w:hyperlink r:id="rId37" w:tooltip="https://login.consultant.ru/link/?req=doc&amp;base=LAW&amp;n=495001&amp;dst=100637" w:history="1">
        <w:r>
          <w:rPr>
            <w:rStyle w:val="-"/>
            <w:color w:val="000000" w:themeColor="text1"/>
            <w:sz w:val="28"/>
            <w:szCs w:val="28"/>
            <w:u w:val="none"/>
          </w:rPr>
          <w:t xml:space="preserve">4</w:t>
        </w:r>
      </w:hyperlink>
      <w:r>
        <w:rPr>
          <w:color w:val="000000" w:themeColor="text1"/>
          <w:sz w:val="28"/>
          <w:szCs w:val="28"/>
        </w:rPr>
        <w:t xml:space="preserve">, </w:t>
      </w:r>
      <w:hyperlink r:id="rId38" w:tooltip="https://login.consultant.ru/link/?req=doc&amp;base=LAW&amp;n=495001&amp;dst=100639" w:history="1">
        <w:r>
          <w:rPr>
            <w:rStyle w:val="-"/>
            <w:color w:val="000000" w:themeColor="text1"/>
            <w:sz w:val="28"/>
            <w:szCs w:val="28"/>
            <w:u w:val="none"/>
          </w:rPr>
          <w:t xml:space="preserve">6</w:t>
        </w:r>
      </w:hyperlink>
      <w:r>
        <w:rPr>
          <w:color w:val="000000" w:themeColor="text1"/>
          <w:sz w:val="28"/>
          <w:szCs w:val="28"/>
        </w:rPr>
        <w:t xml:space="preserve">, </w:t>
      </w:r>
      <w:hyperlink r:id="rId39" w:tooltip="https://login.consultant.ru/link/?req=doc&amp;base=LAW&amp;n=495001&amp;dst=101412" w:history="1">
        <w:r>
          <w:rPr>
            <w:rStyle w:val="-"/>
            <w:color w:val="000000" w:themeColor="text1"/>
            <w:sz w:val="28"/>
            <w:szCs w:val="28"/>
            <w:u w:val="none"/>
          </w:rPr>
          <w:t xml:space="preserve">8 части 1</w:t>
        </w:r>
      </w:hyperlink>
      <w:r>
        <w:rPr>
          <w:color w:val="000000" w:themeColor="text1"/>
          <w:sz w:val="28"/>
          <w:szCs w:val="28"/>
        </w:rPr>
        <w:t xml:space="preserve">, </w:t>
      </w:r>
      <w:hyperlink r:id="rId40" w:tooltip="https://login.consultant.ru/link/?req=doc&amp;base=LAW&amp;n=495001&amp;dst=101175" w:history="1">
        <w:r>
          <w:rPr>
            <w:rStyle w:val="-"/>
            <w:color w:val="000000" w:themeColor="text1"/>
            <w:sz w:val="28"/>
            <w:szCs w:val="28"/>
            <w:u w:val="none"/>
          </w:rPr>
          <w:t xml:space="preserve">частью 3 статьи 57</w:t>
        </w:r>
      </w:hyperlink>
      <w:r>
        <w:rPr>
          <w:color w:val="000000" w:themeColor="text1"/>
          <w:sz w:val="28"/>
          <w:szCs w:val="28"/>
        </w:rPr>
        <w:t xml:space="preserve">  и </w:t>
      </w:r>
      <w:hyperlink r:id="rId41" w:tooltip="https://login.consultant.ru/link/?req=doc&amp;base=LAW&amp;n=495001&amp;dst=101187" w:history="1">
        <w:r>
          <w:rPr>
            <w:rStyle w:val="-"/>
            <w:color w:val="000000" w:themeColor="text1"/>
            <w:sz w:val="28"/>
            <w:szCs w:val="28"/>
            <w:u w:val="none"/>
          </w:rPr>
          <w:t xml:space="preserve">частями 12</w:t>
        </w:r>
      </w:hyperlink>
      <w:r>
        <w:rPr>
          <w:color w:val="000000" w:themeColor="text1"/>
          <w:sz w:val="28"/>
          <w:szCs w:val="28"/>
        </w:rPr>
        <w:t xml:space="preserve"> и </w:t>
      </w:r>
      <w:hyperlink r:id="rId42" w:tooltip="https://login.consultant.ru/link/?req=doc&amp;base=LAW&amp;n=495001&amp;dst=9" w:history="1">
        <w:r>
          <w:rPr>
            <w:rStyle w:val="-"/>
            <w:color w:val="000000" w:themeColor="text1"/>
            <w:sz w:val="28"/>
            <w:szCs w:val="28"/>
            <w:u w:val="none"/>
          </w:rPr>
          <w:t xml:space="preserve">12.1 статьи 66</w:t>
        </w:r>
      </w:hyperlink>
      <w:r>
        <w:rPr>
          <w:color w:val="000000" w:themeColor="text1"/>
          <w:sz w:val="28"/>
          <w:szCs w:val="28"/>
        </w:rPr>
        <w:t xml:space="preserve">  Федерального закона № 248-ФЗ. </w:t>
      </w:r>
    </w:p>
    <w:p>
      <w:pPr>
        <w:jc w:val="both"/>
      </w:pPr>
      <w:r>
        <w:rPr>
          <w:rFonts w:eastAsia="Calibri"/>
          <w:sz w:val="28"/>
          <w:szCs w:val="28"/>
        </w:rPr>
        <w:tab/>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r:id="rId43" w:tooltip="consultantplus://offline/ref=9973AF9809BF6FD7C6FA1DCB1E3BFC325CA72E64D6D0187C48E7D1D092BB72F1061FA5639DFA6EBAFE80ED108EC9F0C63D63A127D42BC0FBZ6nEJ" w:history="1">
        <w:r>
          <w:rPr>
            <w:rStyle w:val="-"/>
            <w:color w:val="000000"/>
            <w:sz w:val="28"/>
            <w:szCs w:val="28"/>
            <w:u w:val="none"/>
          </w:rPr>
          <w:t xml:space="preserve">пункт 6 части 1 статьи 57</w:t>
        </w:r>
      </w:hyperlink>
      <w:r>
        <w:rPr>
          <w:sz w:val="28"/>
          <w:szCs w:val="28"/>
        </w:rPr>
        <w:t xml:space="preserve"> </w:t>
      </w:r>
      <w:r>
        <w:rPr>
          <w:rFonts w:eastAsia="Calibri"/>
          <w:sz w:val="28"/>
          <w:szCs w:val="28"/>
        </w:rPr>
        <w:t xml:space="preserve">Федерального закона № 248-ФЗ и которая для микропредприятия не может продолжаться более сорока часов. </w:t>
      </w:r>
    </w:p>
    <w:p>
      <w:pPr>
        <w:pStyle w:val="a3"/>
        <w:ind w:left="0"/>
        <w:jc w:val="both"/>
      </w:pPr>
      <w:r>
        <w:rPr>
          <w:rFonts w:eastAsia="Calibri"/>
          <w:sz w:val="28"/>
          <w:szCs w:val="28"/>
        </w:rPr>
        <w:tab/>
        <w:t xml:space="preserve">4.18.</w:t>
      </w:r>
      <w:r>
        <w:rPr>
          <w:rFonts w:eastAsia="Calibri"/>
          <w:sz w:val="28"/>
          <w:szCs w:val="28"/>
        </w:rPr>
        <w:tab/>
        <w:t xml:space="preserve">Контрольные мероприятия, за исключением контрольных мероприятий без взаимодействия, проводятся путем совершения муниципальным служащим и лицами, привлекаемыми к проведению контрольного мероприятия, контрольных действий в порядке, установленном Федеральным законом № 248-ФЗ.</w:t>
      </w:r>
    </w:p>
    <w:p>
      <w:pPr>
        <w:pStyle w:val="a3"/>
        <w:tabs>
          <w:tab w:val="left" w:pos="1134"/>
        </w:tabs>
        <w:ind w:left="0" w:firstLine="737"/>
        <w:jc w:val="both"/>
      </w:pPr>
      <w:r>
        <w:rPr>
          <w:rFonts w:eastAsia="Calibri"/>
          <w:sz w:val="28"/>
          <w:szCs w:val="28"/>
        </w:rPr>
        <w:t xml:space="preserve">4.19.</w:t>
      </w:r>
      <w:r>
        <w:rPr>
          <w:rFonts w:eastAsia="Calibri"/>
          <w:sz w:val="28"/>
          <w:szCs w:val="28"/>
        </w:rPr>
        <w:tab/>
        <w:t xml:space="preserve">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 248-ФЗ, представить в контрольный орган информацию о невозможности присутствия при проведении контрольного мероприятия являются:</w:t>
      </w:r>
    </w:p>
    <w:p>
      <w:pPr>
        <w:pStyle w:val="a3"/>
        <w:tabs>
          <w:tab w:val="left" w:pos="1134"/>
        </w:tabs>
        <w:ind w:left="0"/>
        <w:jc w:val="both"/>
        <w:rPr>
          <w:sz w:val="28"/>
          <w:szCs w:val="28"/>
        </w:rPr>
      </w:pPr>
      <w:r>
        <w:rPr>
          <w:rFonts w:eastAsia="Calibri"/>
          <w:sz w:val="28"/>
          <w:szCs w:val="28"/>
        </w:rPr>
        <w:t xml:space="preserve">      - нахождение на стационарном лечении в медицинском учреждении;</w:t>
      </w:r>
    </w:p>
    <w:p>
      <w:pPr>
        <w:pStyle w:val="a3"/>
        <w:tabs>
          <w:tab w:val="left" w:pos="1134"/>
        </w:tabs>
        <w:ind w:left="0"/>
        <w:jc w:val="both"/>
        <w:rPr>
          <w:sz w:val="28"/>
          <w:szCs w:val="28"/>
        </w:rPr>
      </w:pPr>
      <w:r>
        <w:rPr>
          <w:rFonts w:eastAsia="Calibri"/>
          <w:sz w:val="28"/>
          <w:szCs w:val="28"/>
        </w:rPr>
        <w:t xml:space="preserve">      - нахождение за пределами Российской Федерации;</w:t>
      </w:r>
    </w:p>
    <w:p>
      <w:pPr>
        <w:pStyle w:val="a3"/>
        <w:tabs>
          <w:tab w:val="left" w:pos="1134"/>
        </w:tabs>
        <w:ind w:left="0"/>
        <w:jc w:val="both"/>
      </w:pPr>
      <w:r>
        <w:rPr>
          <w:rFonts w:eastAsia="Calibri"/>
          <w:sz w:val="28"/>
          <w:szCs w:val="28"/>
        </w:rPr>
        <w:t xml:space="preserve">      - административный арест;</w:t>
      </w:r>
    </w:p>
    <w:p>
      <w:pPr>
        <w:tabs>
          <w:tab w:val="left" w:pos="1134"/>
        </w:tabs>
        <w:jc w:val="both"/>
      </w:pPr>
      <w:r>
        <w:rPr>
          <w:rFonts w:eastAsia="Calibri"/>
          <w:sz w:val="28"/>
          <w:szCs w:val="28"/>
        </w:rPr>
        <w:t xml:space="preserve">      -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pPr>
        <w:tabs>
          <w:tab w:val="left" w:pos="1134"/>
        </w:tabs>
        <w:jc w:val="both"/>
        <w:rPr>
          <w:rFonts w:eastAsia="Calibri"/>
          <w:sz w:val="28"/>
          <w:szCs w:val="28"/>
        </w:rPr>
      </w:pPr>
      <w:r>
        <w:rPr>
          <w:rFonts w:eastAsia="Calibri"/>
          <w:sz w:val="28"/>
          <w:szCs w:val="28"/>
        </w:rPr>
        <w:t xml:space="preserve">      - наступление </w:t>
      </w:r>
      <w:r>
        <w:rPr>
          <w:rFonts w:eastAsia="Calibri"/>
          <w:iCs/>
          <w:sz w:val="28"/>
          <w:szCs w:val="28"/>
        </w:rPr>
        <w:t xml:space="preserve">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pPr>
        <w:ind w:firstLine="454"/>
        <w:jc w:val="both"/>
      </w:pPr>
      <w:r>
        <w:rPr>
          <w:rFonts w:eastAsia="Calibri"/>
          <w:sz w:val="28"/>
          <w:szCs w:val="28"/>
        </w:rPr>
        <w:t xml:space="preserve">Информация лица должна содержать:</w:t>
      </w:r>
    </w:p>
    <w:p>
      <w:pPr>
        <w:pStyle w:val="a3"/>
        <w:tabs>
          <w:tab w:val="left" w:pos="993"/>
        </w:tabs>
        <w:ind w:left="0" w:firstLine="454"/>
        <w:jc w:val="both"/>
      </w:pPr>
      <w:r>
        <w:rPr>
          <w:rFonts w:eastAsia="Calibri"/>
          <w:sz w:val="28"/>
          <w:szCs w:val="28"/>
        </w:rPr>
        <w:t xml:space="preserve">а) описание обстоятельств непреодолимой силы и их продолжительность;</w:t>
      </w:r>
    </w:p>
    <w:p>
      <w:pPr>
        <w:pStyle w:val="a3"/>
        <w:tabs>
          <w:tab w:val="left" w:pos="993"/>
        </w:tabs>
        <w:ind w:left="0" w:firstLine="454"/>
        <w:jc w:val="both"/>
      </w:pPr>
      <w:r>
        <w:rPr>
          <w:rFonts w:eastAsia="Calibri"/>
          <w:sz w:val="28"/>
          <w:szCs w:val="28"/>
        </w:rPr>
        <w:t xml:space="preserve">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w:t>
      </w:r>
    </w:p>
    <w:p>
      <w:pPr>
        <w:pStyle w:val="a3"/>
        <w:tabs>
          <w:tab w:val="left" w:pos="993"/>
        </w:tabs>
        <w:ind w:left="0" w:firstLine="454"/>
        <w:jc w:val="both"/>
      </w:pPr>
      <w:r>
        <w:rPr>
          <w:rFonts w:eastAsia="Calibri"/>
          <w:sz w:val="28"/>
          <w:szCs w:val="28"/>
        </w:rPr>
        <w:t xml:space="preserve">в) указание на срок, необходимый для устранения обстоятельств, препятствующих присутствию при проведении контрольного мероприятия.</w:t>
      </w:r>
    </w:p>
    <w:p>
      <w:pPr>
        <w:ind w:firstLine="454"/>
        <w:jc w:val="both"/>
        <w:rPr>
          <w:rFonts w:eastAsia="Calibri"/>
          <w:sz w:val="28"/>
          <w:szCs w:val="28"/>
        </w:rPr>
      </w:pPr>
      <w:r>
        <w:rPr>
          <w:rFonts w:eastAsia="Calibri"/>
          <w:sz w:val="28"/>
          <w:szCs w:val="28"/>
        </w:rPr>
        <w:t xml:space="preserve">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pPr>
        <w:ind w:firstLine="454"/>
        <w:jc w:val="both"/>
      </w:pPr>
    </w:p>
    <w:p>
      <w:pPr>
        <w:pStyle w:val="a3"/>
        <w:ind w:left="0"/>
        <w:jc w:val="center"/>
        <w:rPr>
          <w:sz w:val="28"/>
          <w:szCs w:val="28"/>
        </w:rPr>
      </w:pPr>
    </w:p>
    <w:p>
      <w:pPr>
        <w:pStyle w:val="a3"/>
        <w:ind w:left="0"/>
        <w:jc w:val="center"/>
        <w:rPr>
          <w:rFonts w:eastAsia="Calibri"/>
          <w:b/>
          <w:bCs/>
          <w:sz w:val="28"/>
          <w:szCs w:val="28"/>
        </w:rPr>
      </w:pPr>
    </w:p>
    <w:p>
      <w:pPr>
        <w:pStyle w:val="a3"/>
        <w:ind w:left="0"/>
        <w:jc w:val="center"/>
        <w:rPr>
          <w:sz w:val="28"/>
          <w:szCs w:val="28"/>
        </w:rPr>
      </w:pPr>
      <w:r>
        <w:rPr>
          <w:rFonts w:eastAsia="Calibri"/>
          <w:b/>
          <w:sz w:val="28"/>
          <w:szCs w:val="28"/>
        </w:rPr>
        <w:t xml:space="preserve">5. Результаты контрольного мероприятия</w:t>
      </w:r>
    </w:p>
    <w:p>
      <w:pPr>
        <w:pStyle w:val="a3"/>
        <w:ind w:left="0"/>
        <w:jc w:val="center"/>
        <w:rPr>
          <w:rFonts w:eastAsia="Calibri"/>
          <w:b/>
          <w:bCs/>
          <w:sz w:val="28"/>
          <w:szCs w:val="28"/>
        </w:rPr>
      </w:pPr>
    </w:p>
    <w:p>
      <w:pPr>
        <w:pStyle w:val="a3"/>
        <w:tabs>
          <w:tab w:val="left" w:pos="1134"/>
        </w:tabs>
        <w:ind w:left="0" w:firstLine="737"/>
        <w:jc w:val="both"/>
      </w:pPr>
      <w:r>
        <w:rPr>
          <w:rFonts w:eastAsia="Calibri"/>
          <w:sz w:val="28"/>
          <w:szCs w:val="28"/>
        </w:rPr>
        <w:t xml:space="preserve">5.1.</w:t>
      </w:r>
      <w:r>
        <w:rPr>
          <w:rFonts w:eastAsia="Calibri"/>
          <w:sz w:val="16"/>
          <w:szCs w:val="16"/>
        </w:rPr>
        <w:t xml:space="preserve"> </w:t>
      </w:r>
      <w:r>
        <w:rPr>
          <w:rFonts w:eastAsia="Calibri"/>
          <w:sz w:val="28"/>
          <w:szCs w:val="28"/>
        </w:rPr>
        <w:t xml:space="preserve">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 248-ФЗ.</w:t>
      </w:r>
    </w:p>
    <w:p>
      <w:pPr>
        <w:jc w:val="both"/>
        <w:rPr>
          <w:rFonts w:eastAsia="Calibri"/>
          <w:sz w:val="28"/>
          <w:szCs w:val="28"/>
        </w:rPr>
      </w:pPr>
      <w:r>
        <w:rPr>
          <w:rFonts w:eastAsia="Calibri"/>
          <w:sz w:val="28"/>
          <w:szCs w:val="28"/>
        </w:rPr>
        <w:tab/>
        <w:t xml:space="preserve">В соответствии с </w:t>
      </w:r>
      <w:r>
        <w:rPr>
          <w:color w:val="000000" w:themeColor="text1"/>
          <w:sz w:val="28"/>
          <w:szCs w:val="28"/>
        </w:rPr>
        <w:t xml:space="preserve"> частью 2, частью 3 статьи 87 Федерального закона           № 248-ФЗ </w:t>
      </w:r>
      <w:r>
        <w:rPr>
          <w:color w:val="000000" w:themeColor="text1"/>
          <w:sz w:val="28"/>
          <w:szCs w:val="28"/>
          <w:highlight w:val="white"/>
        </w:rPr>
        <w:t xml:space="preserve">(с</w:t>
      </w:r>
      <w:r>
        <w:rPr>
          <w:color w:val="000000" w:themeColor="text1"/>
          <w:sz w:val="28"/>
          <w:highlight w:val="white"/>
        </w:rPr>
        <w:t xml:space="preserve"> 01.09.2025 г. вносятся изменения (</w:t>
      </w:r>
      <w:hyperlink r:id="rId44" w:tooltip="https://www.consultant.ru/document/cons_doc_LAW_494826/3d0cac60971a511280cbba229d9b6329c07731f7/#dst100249" w:anchor="dst100249" w:history="1">
        <w:r>
          <w:rPr>
            <w:rStyle w:val="af0"/>
            <w:color w:val="000000" w:themeColor="text1"/>
            <w:sz w:val="28"/>
            <w:u w:val="none"/>
          </w:rPr>
          <w:t xml:space="preserve">Федеральный закон</w:t>
        </w:r>
      </w:hyperlink>
      <w:r>
        <w:rPr>
          <w:color w:val="000000" w:themeColor="text1"/>
          <w:sz w:val="28"/>
          <w:highlight w:val="white"/>
        </w:rPr>
        <w:t xml:space="preserve">                        от 28.12.2024 г. № 540-ФЗ) п</w:t>
      </w:r>
      <w:r>
        <w:rPr>
          <w:rFonts w:eastAsia="Calibri"/>
          <w:sz w:val="28"/>
          <w:szCs w:val="28"/>
        </w:rPr>
        <w:t xml:space="preserve">о окончании проведения контрольного мероприятия,</w:t>
      </w:r>
      <w:r>
        <w:rPr>
          <w:sz w:val="28"/>
          <w:szCs w:val="28"/>
        </w:rPr>
        <w:t xml:space="preserve"> предусматривающего взаимодействие с контролируемым лицом</w:t>
      </w:r>
      <w:r>
        <w:rPr>
          <w:rFonts w:eastAsia="Calibri"/>
          <w:color w:val="000000" w:themeColor="text1"/>
          <w:sz w:val="28"/>
          <w:szCs w:val="28"/>
        </w:rPr>
        <w:t xml:space="preserve"> </w:t>
      </w:r>
      <w:r>
        <w:rPr>
          <w:rFonts w:eastAsia="Calibri"/>
          <w:sz w:val="28"/>
          <w:szCs w:val="28"/>
        </w:rPr>
        <w:t xml:space="preserve">составляется акт контрольного мероприятия (далее также – акт).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r>
        <w:rPr>
          <w:rFonts w:eastAsia="Calibri"/>
          <w:color w:val="000000" w:themeColor="text1"/>
          <w:sz w:val="28"/>
          <w:szCs w:val="28"/>
        </w:rPr>
        <w:t xml:space="preserve">.  В случае устранения выявленного нарушения                до окончания проведен</w:t>
      </w:r>
      <w:r>
        <w:rPr>
          <w:rFonts w:eastAsia="Calibri"/>
          <w:sz w:val="28"/>
          <w:szCs w:val="28"/>
        </w:rPr>
        <w:t xml:space="preserve">ия контрольного мероприятия, </w:t>
      </w:r>
      <w:r>
        <w:rPr>
          <w:sz w:val="28"/>
          <w:szCs w:val="28"/>
        </w:rPr>
        <w:t xml:space="preserve">предусматривающего взаимодействие с контролируемым лицом, </w:t>
      </w:r>
      <w:r>
        <w:rPr>
          <w:rFonts w:eastAsia="Calibri"/>
          <w:sz w:val="28"/>
          <w:szCs w:val="28"/>
        </w:rPr>
        <w:t xml:space="preserve">в акте указывается факт                         его устранения. </w:t>
      </w:r>
    </w:p>
    <w:p>
      <w:pPr>
        <w:jc w:val="both"/>
      </w:pPr>
      <w:r>
        <w:rPr>
          <w:rFonts w:eastAsia="Calibri"/>
          <w:sz w:val="28"/>
          <w:szCs w:val="28"/>
        </w:rPr>
        <w:tab/>
        <w:t xml:space="preserve"> По окончании проведения обязательного </w:t>
      </w:r>
      <w:r>
        <w:rPr>
          <w:color w:val="000000" w:themeColor="text1"/>
          <w:sz w:val="28"/>
          <w:szCs w:val="28"/>
        </w:rPr>
        <w:t xml:space="preserve">профилактического визита             или контрольного мероприятия без взаимодействия,</w:t>
      </w:r>
      <w:r>
        <w:rPr>
          <w:rFonts w:eastAsia="Calibri"/>
          <w:color w:val="000000" w:themeColor="text1"/>
          <w:sz w:val="28"/>
          <w:szCs w:val="28"/>
        </w:rPr>
        <w:t xml:space="preserve"> </w:t>
      </w:r>
      <w:r>
        <w:rPr>
          <w:rFonts w:eastAsia="Calibri"/>
          <w:sz w:val="28"/>
          <w:szCs w:val="28"/>
        </w:rPr>
        <w:t xml:space="preserve">составляется акт контрольного мероприятия (далее также – акт).</w:t>
      </w:r>
    </w:p>
    <w:p>
      <w:pPr>
        <w:ind w:firstLine="708"/>
        <w:jc w:val="both"/>
        <w:rPr>
          <w:rFonts w:eastAsia="Calibri"/>
          <w:sz w:val="28"/>
          <w:szCs w:val="28"/>
        </w:rPr>
      </w:pPr>
      <w:r>
        <w:rPr>
          <w:rFonts w:eastAsia="Calibri"/>
          <w:sz w:val="28"/>
          <w:szCs w:val="28"/>
        </w:rPr>
        <w:t xml:space="preserve">Документы, иные материалы, являющиеся доказательствами нарушения обязательных требований, приобщаются к акту.</w:t>
      </w:r>
    </w:p>
    <w:p>
      <w:pPr>
        <w:jc w:val="both"/>
        <w:rPr>
          <w:color w:val="000000" w:themeColor="text1"/>
          <w:sz w:val="28"/>
          <w:szCs w:val="28"/>
        </w:rPr>
      </w:pPr>
      <w:r>
        <w:rPr>
          <w:rFonts w:eastAsia="Calibri"/>
          <w:sz w:val="28"/>
          <w:szCs w:val="28"/>
        </w:rPr>
        <w:tab/>
      </w:r>
      <w:r>
        <w:rPr>
          <w:rFonts w:eastAsia="Calibri"/>
          <w:color w:val="000000" w:themeColor="text1"/>
          <w:sz w:val="28"/>
          <w:szCs w:val="28"/>
        </w:rPr>
        <w:t xml:space="preserve">Акт составляется </w:t>
      </w:r>
      <w:r>
        <w:rPr>
          <w:color w:val="000000" w:themeColor="text1"/>
          <w:sz w:val="28"/>
          <w:szCs w:val="28"/>
        </w:rPr>
        <w:t xml:space="preserve">в сроки, определенные частью 3 статьи 87 Федерального закона № 248-ФЗ.</w:t>
      </w:r>
    </w:p>
    <w:p>
      <w:pPr>
        <w:jc w:val="both"/>
        <w:rPr>
          <w:rFonts w:eastAsia="Calibri"/>
          <w:color w:val="000000" w:themeColor="text1"/>
          <w:sz w:val="28"/>
          <w:szCs w:val="28"/>
        </w:rPr>
      </w:pPr>
      <w:r>
        <w:rPr>
          <w:color w:val="000000" w:themeColor="text1"/>
          <w:sz w:val="28"/>
          <w:szCs w:val="28"/>
        </w:rPr>
        <w:tab/>
      </w:r>
      <w:r>
        <w:rPr>
          <w:color w:val="000000"/>
          <w:sz w:val="30"/>
          <w:highlight w:val="white"/>
        </w:rPr>
        <w:t xml:space="preserve">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pPr>
        <w:pStyle w:val="a3"/>
        <w:tabs>
          <w:tab w:val="left" w:pos="1134"/>
        </w:tabs>
        <w:ind w:left="0" w:firstLine="737"/>
        <w:jc w:val="both"/>
      </w:pPr>
      <w:r>
        <w:rPr>
          <w:rFonts w:eastAsia="Calibri"/>
          <w:sz w:val="28"/>
          <w:szCs w:val="28"/>
        </w:rPr>
        <w:t xml:space="preserve">5.2.</w:t>
      </w:r>
      <w:r>
        <w:rPr>
          <w:rFonts w:eastAsia="Calibri"/>
          <w:color w:val="000000"/>
          <w:sz w:val="28"/>
          <w:szCs w:val="28"/>
        </w:rPr>
        <w:t xml:space="preserve"> 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pPr>
        <w:pStyle w:val="a3"/>
        <w:tabs>
          <w:tab w:val="left" w:pos="1134"/>
        </w:tabs>
        <w:ind w:left="0" w:firstLine="737"/>
        <w:jc w:val="both"/>
        <w:rPr>
          <w:color w:val="000000" w:themeColor="text1"/>
        </w:rPr>
      </w:pPr>
      <w:r>
        <w:rPr>
          <w:rFonts w:eastAsia="Calibri"/>
          <w:color w:val="000000"/>
          <w:sz w:val="28"/>
          <w:szCs w:val="28"/>
        </w:rPr>
        <w:t xml:space="preserve">Предписание, указанное в абзаце 1 настоящего пункта выдается                      </w:t>
      </w:r>
      <w:r>
        <w:rPr>
          <w:rFonts w:eastAsia="Calibri"/>
          <w:color w:val="000000" w:themeColor="text1"/>
          <w:sz w:val="28"/>
          <w:szCs w:val="28"/>
        </w:rPr>
        <w:t xml:space="preserve">в случаях, установленных частью 4 статьи 72 Земельного кодекса Российской Федерации, и в порядке, определенном статьей 90.1 Федерального закона               № 248-ФЗ.  </w:t>
      </w:r>
    </w:p>
    <w:p>
      <w:pPr>
        <w:pStyle w:val="a3"/>
        <w:tabs>
          <w:tab w:val="left" w:pos="1134"/>
        </w:tabs>
        <w:ind w:left="0" w:firstLine="737"/>
        <w:jc w:val="both"/>
      </w:pPr>
      <w:r>
        <w:rPr>
          <w:sz w:val="28"/>
          <w:szCs w:val="28"/>
        </w:rPr>
        <w:t xml:space="preserve">5.3. В случае несогласия с фактами и выводами, изложенными в акте контрольного </w:t>
      </w:r>
      <w:r>
        <w:rPr>
          <w:color w:val="000000"/>
          <w:sz w:val="28"/>
          <w:szCs w:val="28"/>
        </w:rPr>
        <w:t xml:space="preserve">мероприятия, контролируемое лицо вправе направить жалобу              в порядке, предусмотренном </w:t>
      </w:r>
      <w:hyperlink r:id="rId45" w:tooltip="https://login.consultant.ru/link/?rnd=DD4C46D5562F181F7F5E33570EFA9753&amp;req=doc&amp;base=RZR&amp;n=386954&amp;dst=100423&amp;fld=134&amp;date=23.07.2021" w:history="1">
        <w:r>
          <w:rPr>
            <w:rStyle w:val="-"/>
            <w:color w:val="000000"/>
            <w:sz w:val="28"/>
            <w:szCs w:val="28"/>
            <w:u w:val="none"/>
          </w:rPr>
          <w:t xml:space="preserve">статьями 39</w:t>
        </w:r>
      </w:hyperlink>
      <w:r>
        <w:rPr>
          <w:color w:val="000000"/>
          <w:sz w:val="28"/>
          <w:szCs w:val="28"/>
        </w:rPr>
        <w:t xml:space="preserve"> - </w:t>
      </w:r>
      <w:hyperlink r:id="rId46" w:tooltip="https://login.consultant.ru/link/?rnd=DD4C46D5562F181F7F5E33570EFA9753&amp;req=doc&amp;base=RZR&amp;n=386954&amp;dst=100468&amp;fld=134&amp;date=23.07.2021" w:history="1">
        <w:r>
          <w:rPr>
            <w:rStyle w:val="-"/>
            <w:color w:val="000000"/>
            <w:sz w:val="28"/>
            <w:szCs w:val="28"/>
            <w:u w:val="none"/>
          </w:rPr>
          <w:t xml:space="preserve">43</w:t>
        </w:r>
      </w:hyperlink>
      <w:r>
        <w:rPr>
          <w:rFonts w:eastAsia="Calibri"/>
          <w:iCs/>
          <w:color w:val="000000"/>
          <w:sz w:val="28"/>
          <w:szCs w:val="28"/>
        </w:rPr>
        <w:t xml:space="preserve"> Федерального закона № </w:t>
      </w:r>
      <w:r>
        <w:rPr>
          <w:rFonts w:eastAsia="Calibri"/>
          <w:color w:val="000000"/>
          <w:sz w:val="28"/>
          <w:szCs w:val="28"/>
        </w:rPr>
        <w:t xml:space="preserve">248-ФЗ.</w:t>
      </w:r>
    </w:p>
    <w:p>
      <w:pPr>
        <w:jc w:val="both"/>
        <w:rPr>
          <w:rFonts w:eastAsia="Calibri"/>
          <w:sz w:val="28"/>
          <w:szCs w:val="28"/>
        </w:rPr>
      </w:pPr>
    </w:p>
    <w:p>
      <w:pPr>
        <w:pStyle w:val="a3"/>
        <w:ind w:left="0"/>
        <w:jc w:val="center"/>
        <w:rPr>
          <w:sz w:val="28"/>
          <w:szCs w:val="28"/>
        </w:rPr>
      </w:pPr>
      <w:r>
        <w:rPr>
          <w:rFonts w:eastAsia="Calibri"/>
          <w:b/>
          <w:sz w:val="28"/>
          <w:szCs w:val="28"/>
        </w:rPr>
        <w:t xml:space="preserve">6. Обжалование решений контрольных органов, </w:t>
      </w:r>
    </w:p>
    <w:p>
      <w:pPr>
        <w:pStyle w:val="a3"/>
        <w:ind w:left="0"/>
        <w:jc w:val="center"/>
        <w:rPr>
          <w:sz w:val="28"/>
          <w:szCs w:val="28"/>
        </w:rPr>
      </w:pPr>
      <w:r>
        <w:rPr>
          <w:rFonts w:eastAsia="Calibri"/>
          <w:b/>
          <w:sz w:val="28"/>
          <w:szCs w:val="28"/>
        </w:rPr>
        <w:t xml:space="preserve">действий (бездействия) их должностных лиц</w:t>
      </w:r>
    </w:p>
    <w:p>
      <w:pPr>
        <w:pStyle w:val="a3"/>
        <w:ind w:left="0"/>
        <w:jc w:val="center"/>
        <w:rPr>
          <w:sz w:val="28"/>
          <w:szCs w:val="28"/>
        </w:rPr>
      </w:pPr>
    </w:p>
    <w:p>
      <w:pPr>
        <w:pStyle w:val="a3"/>
        <w:tabs>
          <w:tab w:val="left" w:pos="1134"/>
        </w:tabs>
        <w:ind w:left="0" w:firstLine="737"/>
        <w:jc w:val="both"/>
      </w:pPr>
      <w:r>
        <w:rPr>
          <w:color w:val="00000a"/>
          <w:sz w:val="28"/>
          <w:szCs w:val="28"/>
        </w:rPr>
        <w:t xml:space="preserve">6.1. Решения контрольного органа, действий (бездействия) должностных лиц, осуществляющих муниципальный контроль, могут быть обжалованы               в порядке, установленном законодательством Российской Федерации.</w:t>
      </w:r>
    </w:p>
    <w:p>
      <w:pPr>
        <w:ind w:firstLine="794"/>
        <w:jc w:val="both"/>
      </w:pPr>
      <w:r>
        <w:rPr>
          <w:color w:val="00000a"/>
          <w:sz w:val="28"/>
          <w:szCs w:val="28"/>
        </w:rPr>
        <w:t xml:space="preserve">6.2. Судебное обжалование решений контрольного органа, действий (бездействия) должностных лиц контрольного органа,  возможно только после их досудебного обжалования, за исключением установленных частью статьи 39 Федерального закона от 31.07.2020 </w:t>
      </w:r>
      <w:r>
        <w:rPr>
          <w:rFonts w:eastAsia="Segoe UI Symbol" w:cs="Segoe UI Symbol"/>
          <w:color w:val="00000a"/>
          <w:sz w:val="28"/>
          <w:szCs w:val="28"/>
        </w:rPr>
        <w:t xml:space="preserve">№</w:t>
      </w:r>
      <w:r>
        <w:rPr>
          <w:color w:val="00000a"/>
          <w:sz w:val="28"/>
          <w:szCs w:val="28"/>
        </w:rPr>
        <w:t xml:space="preserve"> 248-ФЗ. </w:t>
      </w:r>
    </w:p>
    <w:p>
      <w:pPr>
        <w:ind w:firstLine="794"/>
        <w:jc w:val="both"/>
      </w:pPr>
      <w:r>
        <w:rPr>
          <w:color w:val="00000a"/>
          <w:sz w:val="28"/>
          <w:szCs w:val="28"/>
        </w:rPr>
        <w:t xml:space="preserve">6.3. Досудебное обжалование решений контрольного органа, действий (бездействия) должностных лиц контрольного органа осуществляется                 в соответствии с главой 9 Федерального закона от 31.07.2020 </w:t>
      </w:r>
      <w:r>
        <w:rPr>
          <w:rFonts w:eastAsia="Segoe UI Symbol" w:cs="Segoe UI Symbol"/>
          <w:color w:val="00000a"/>
          <w:sz w:val="28"/>
          <w:szCs w:val="28"/>
        </w:rPr>
        <w:t xml:space="preserve">№</w:t>
      </w:r>
      <w:r>
        <w:rPr>
          <w:color w:val="00000a"/>
          <w:sz w:val="28"/>
          <w:szCs w:val="28"/>
        </w:rPr>
        <w:t xml:space="preserve"> 248-ФЗ.</w:t>
      </w:r>
    </w:p>
    <w:p>
      <w:pPr>
        <w:jc w:val="both"/>
        <w:rPr>
          <w:color w:val="000000" w:themeColor="text1"/>
          <w:sz w:val="28"/>
          <w:szCs w:val="28"/>
        </w:rPr>
      </w:pPr>
      <w:r>
        <w:rPr>
          <w:color w:val="00000a"/>
          <w:sz w:val="28"/>
          <w:szCs w:val="28"/>
        </w:rPr>
        <w:t xml:space="preserve"> </w:t>
      </w:r>
      <w:r>
        <w:rPr>
          <w:color w:val="00000a"/>
          <w:sz w:val="28"/>
          <w:szCs w:val="28"/>
        </w:rPr>
        <w:tab/>
      </w:r>
      <w:r>
        <w:rPr>
          <w:color w:val="000000" w:themeColor="text1"/>
          <w:sz w:val="28"/>
          <w:szCs w:val="28"/>
        </w:rPr>
        <w:t xml:space="preserve">В досудебном порядке со стороны контролируемых лиц, права                        и законные интересы которых, по их мнению, были нарушены, обжалованию подлежат: </w:t>
      </w:r>
    </w:p>
    <w:p>
      <w:pPr>
        <w:jc w:val="both"/>
        <w:rPr>
          <w:color w:val="000000" w:themeColor="text1"/>
        </w:rPr>
      </w:pPr>
      <w:r>
        <w:rPr>
          <w:color w:val="000000" w:themeColor="text1"/>
          <w:sz w:val="28"/>
          <w:szCs w:val="28"/>
        </w:rPr>
        <w:tab/>
        <w:t xml:space="preserve">- решения о проведении контрольных (надзорных) мероприятий                        и обязательных профилактических визитов; </w:t>
      </w:r>
    </w:p>
    <w:p>
      <w:pPr>
        <w:jc w:val="both"/>
        <w:rPr>
          <w:color w:val="000000" w:themeColor="text1"/>
        </w:rPr>
      </w:pPr>
      <w:r>
        <w:rPr>
          <w:color w:val="000000" w:themeColor="text1"/>
          <w:sz w:val="28"/>
          <w:szCs w:val="28"/>
        </w:rPr>
        <w:tab/>
        <w:t xml:space="preserve">- актов контрольных (надзорных) мероприятий и обязательных профилактических визитов, предписаний об устранении выявленных нарушений;</w:t>
      </w:r>
    </w:p>
    <w:p>
      <w:pPr>
        <w:jc w:val="both"/>
        <w:rPr>
          <w:color w:val="000000" w:themeColor="text1"/>
        </w:rPr>
      </w:pPr>
      <w:r>
        <w:rPr>
          <w:color w:val="000000" w:themeColor="text1"/>
          <w:sz w:val="28"/>
          <w:szCs w:val="28"/>
        </w:rPr>
        <w:tab/>
        <w:t xml:space="preserve">- действия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pPr>
        <w:jc w:val="both"/>
        <w:rPr>
          <w:color w:val="000000" w:themeColor="text1"/>
        </w:rPr>
      </w:pPr>
      <w:r>
        <w:rPr>
          <w:color w:val="000000" w:themeColor="text1"/>
          <w:sz w:val="28"/>
          <w:szCs w:val="28"/>
        </w:rPr>
        <w:tab/>
        <w:t xml:space="preserve">- решений об отнесении объектов контроля к соответствующей категории риска;</w:t>
      </w:r>
    </w:p>
    <w:p>
      <w:pPr>
        <w:jc w:val="both"/>
        <w:rPr>
          <w:color w:val="000000" w:themeColor="text1"/>
        </w:rPr>
      </w:pPr>
      <w:r>
        <w:rPr>
          <w:color w:val="000000" w:themeColor="text1"/>
          <w:sz w:val="28"/>
          <w:szCs w:val="28"/>
        </w:rPr>
        <w:tab/>
        <w:t xml:space="preserve">- решений об отказе в проведении обязательных профилактических визитов по заявлениям контролируемых лиц;</w:t>
      </w:r>
    </w:p>
    <w:p>
      <w:pPr>
        <w:jc w:val="both"/>
        <w:rPr>
          <w:color w:val="000000" w:themeColor="text1"/>
        </w:rPr>
      </w:pPr>
      <w:r>
        <w:rPr>
          <w:color w:val="000000" w:themeColor="text1"/>
          <w:sz w:val="28"/>
          <w:szCs w:val="28"/>
        </w:rPr>
        <w:tab/>
        <w:t xml:space="preserve">-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pPr>
        <w:jc w:val="both"/>
      </w:pPr>
      <w:r>
        <w:rPr>
          <w:color w:val="00000a"/>
          <w:sz w:val="28"/>
          <w:szCs w:val="28"/>
        </w:rPr>
        <w:tab/>
        <w:t xml:space="preserve">6.4. Жалоба подается контролируемым лицом в контрольный орган           в электронном виде с использованием Единого портала государственных                    и муниципальных услуг (функций), за исключением случая, предусмотренного частью 1.1 статьи 40 Федерального закона </w:t>
      </w:r>
      <w:r>
        <w:rPr>
          <w:rFonts w:eastAsia="Segoe UI Symbol" w:cs="Segoe UI Symbol"/>
          <w:color w:val="00000a"/>
          <w:sz w:val="28"/>
          <w:szCs w:val="28"/>
        </w:rPr>
        <w:t xml:space="preserve">№</w:t>
      </w:r>
      <w:r>
        <w:rPr>
          <w:color w:val="00000a"/>
          <w:sz w:val="28"/>
          <w:szCs w:val="28"/>
        </w:rPr>
        <w:t xml:space="preserve"> 248-ФЗ.</w:t>
      </w:r>
    </w:p>
    <w:p>
      <w:pPr>
        <w:jc w:val="both"/>
      </w:pPr>
      <w:r>
        <w:rPr>
          <w:color w:val="00000a"/>
          <w:sz w:val="28"/>
          <w:szCs w:val="28"/>
        </w:rPr>
        <w:tab/>
        <w:t xml:space="preserve">6.5.</w:t>
      </w:r>
      <w:r>
        <w:rPr>
          <w:color w:val="00000a"/>
          <w:sz w:val="16"/>
          <w:szCs w:val="16"/>
        </w:rPr>
        <w:tab/>
      </w:r>
      <w:r>
        <w:rPr>
          <w:color w:val="00000a"/>
          <w:sz w:val="28"/>
          <w:szCs w:val="28"/>
        </w:rPr>
        <w:t xml:space="preserve">Жалоба, содержащая сведения и документы, составляющие государственную или охраняемую законом тайну, подается в соответствии                с пунктом 1.1. части 1 статьи  40 Федерального закона </w:t>
      </w:r>
      <w:r>
        <w:rPr>
          <w:rFonts w:eastAsia="Segoe UI Symbol" w:cs="Segoe UI Symbol"/>
          <w:color w:val="00000a"/>
          <w:sz w:val="28"/>
          <w:szCs w:val="28"/>
        </w:rPr>
        <w:t xml:space="preserve">№</w:t>
      </w:r>
      <w:r>
        <w:rPr>
          <w:color w:val="00000a"/>
          <w:sz w:val="28"/>
          <w:szCs w:val="28"/>
        </w:rPr>
        <w:t xml:space="preserve"> 248-ФЗ.</w:t>
      </w:r>
    </w:p>
    <w:p>
      <w:pPr>
        <w:jc w:val="both"/>
      </w:pPr>
      <w:r>
        <w:rPr>
          <w:color w:val="ff3333"/>
          <w:sz w:val="28"/>
          <w:szCs w:val="28"/>
        </w:rPr>
        <w:tab/>
      </w:r>
      <w:r>
        <w:rPr>
          <w:color w:val="000000" w:themeColor="text1"/>
          <w:sz w:val="28"/>
          <w:szCs w:val="28"/>
        </w:rPr>
        <w:t xml:space="preserve">6.6. Жалоба, поданная в электронном виде, должна быть подписана                      в соответствии с требованиями части 1 статьи 40 Федерального закона              № 248-ФЗ. </w:t>
      </w:r>
    </w:p>
    <w:p>
      <w:pPr>
        <w:jc w:val="both"/>
      </w:pPr>
      <w:r>
        <w:rPr>
          <w:color w:val="00000a"/>
          <w:sz w:val="28"/>
          <w:szCs w:val="28"/>
        </w:rPr>
        <w:tab/>
        <w:t xml:space="preserve">6.7. Материалы, прикладываемые к жалобе, в том числе фото-                           и видеоматериалы, представляются контролируемым лицом в электронном виде.</w:t>
      </w:r>
    </w:p>
    <w:p>
      <w:pPr>
        <w:jc w:val="both"/>
      </w:pPr>
      <w:r>
        <w:rPr>
          <w:color w:val="00000a"/>
          <w:sz w:val="28"/>
          <w:szCs w:val="28"/>
        </w:rPr>
        <w:tab/>
        <w:t xml:space="preserve">6.8. Жалоба на решение контрольного органа, действий (бездействия)             его должностных лиц рассматривается руководителем контрольного органа. </w:t>
      </w:r>
    </w:p>
    <w:p>
      <w:pPr>
        <w:jc w:val="both"/>
      </w:pPr>
      <w:r>
        <w:rPr>
          <w:color w:val="00000a"/>
          <w:sz w:val="28"/>
          <w:szCs w:val="28"/>
        </w:rPr>
        <w:tab/>
        <w:t xml:space="preserve">6.9. Жалоба может быть подана в течение тридцати календарных дней              со дня, когда контролируемое лицо узнало или должно было узнать                           о нарушении своих прав.  Жалоба на предписание контрольного органа может быть подана в течение десяти рабочих дней с момента получения контролируемым лицом предписания.  </w:t>
      </w:r>
    </w:p>
    <w:p>
      <w:pPr>
        <w:jc w:val="both"/>
      </w:pPr>
      <w:r>
        <w:rPr>
          <w:color w:val="00000a"/>
          <w:sz w:val="28"/>
          <w:szCs w:val="28"/>
        </w:rPr>
        <w:tab/>
        <w:t xml:space="preserve">6.10. 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контрольным органом.</w:t>
      </w:r>
    </w:p>
    <w:p>
      <w:pPr>
        <w:jc w:val="both"/>
      </w:pPr>
      <w:r>
        <w:rPr>
          <w:color w:val="00000a"/>
          <w:sz w:val="28"/>
          <w:szCs w:val="28"/>
        </w:rPr>
        <w:tab/>
        <w:t xml:space="preserve">6.11.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pPr>
        <w:jc w:val="both"/>
      </w:pPr>
      <w:r>
        <w:rPr>
          <w:color w:val="00000a"/>
          <w:sz w:val="28"/>
          <w:szCs w:val="28"/>
        </w:rPr>
        <w:tab/>
        <w:t xml:space="preserve">6.12. Жалоба может содержать ходатайство о приостановлении исполнения обжалуемого решения контрольного органа. При наличии указанного в настоящем пункте ходатайства руководитель контрольного органа </w:t>
      </w:r>
      <w:r>
        <w:rPr>
          <w:color w:val="000000" w:themeColor="text1"/>
          <w:sz w:val="28"/>
          <w:szCs w:val="28"/>
        </w:rPr>
        <w:t xml:space="preserve">не позднее 2 рабочих дней</w:t>
      </w:r>
      <w:r>
        <w:rPr>
          <w:color w:val="00000a"/>
          <w:sz w:val="28"/>
          <w:szCs w:val="28"/>
        </w:rPr>
        <w:t xml:space="preserve"> принимает одно из решений, предусмотренных частью 10 статьи 40 Федерального закона № 248-ФЗ. </w:t>
      </w:r>
    </w:p>
    <w:p>
      <w:pPr>
        <w:jc w:val="both"/>
      </w:pPr>
      <w:r>
        <w:rPr>
          <w:color w:val="00000a"/>
          <w:sz w:val="28"/>
          <w:szCs w:val="28"/>
        </w:rPr>
        <w:tab/>
        <w:t xml:space="preserve">6.13. В срок не позднее пяти рабочих дней </w:t>
      </w:r>
      <w:r>
        <w:rPr>
          <w:sz w:val="28"/>
          <w:szCs w:val="28"/>
        </w:rPr>
        <w:t xml:space="preserve">со дня получения жалобы контролируемый орган отказывает в рассмотрении жалобы в случаях, установленных частью 1 статьи 42 Федерального закона № 248-ФЗ. </w:t>
      </w:r>
    </w:p>
    <w:p>
      <w:pPr>
        <w:jc w:val="both"/>
      </w:pPr>
      <w:r>
        <w:rPr>
          <w:color w:val="00000a"/>
          <w:sz w:val="28"/>
          <w:szCs w:val="28"/>
        </w:rPr>
        <w:tab/>
        <w:t xml:space="preserve">6.14.</w:t>
      </w:r>
      <w:r>
        <w:rPr>
          <w:color w:val="00000a"/>
          <w:sz w:val="28"/>
          <w:szCs w:val="28"/>
        </w:rPr>
        <w:tab/>
        <w:t xml:space="preserve">Срок информирования и направления контролируемому лицу решения, принятого контрольным органом в соответствии</w:t>
      </w:r>
      <w:r>
        <w:rPr>
          <w:color w:val="000000" w:themeColor="text1"/>
          <w:sz w:val="28"/>
          <w:szCs w:val="28"/>
        </w:rPr>
        <w:t xml:space="preserve"> с пунктами 6.12. - 6.13. Положения </w:t>
      </w:r>
      <w:r>
        <w:rPr>
          <w:color w:val="00000a"/>
          <w:sz w:val="28"/>
          <w:szCs w:val="28"/>
        </w:rPr>
        <w:t xml:space="preserve">составляет один рабочий день.</w:t>
      </w:r>
    </w:p>
    <w:p>
      <w:pPr>
        <w:jc w:val="both"/>
      </w:pPr>
      <w:r>
        <w:rPr>
          <w:color w:val="00000a"/>
          <w:sz w:val="28"/>
          <w:szCs w:val="28"/>
        </w:rPr>
        <w:tab/>
        <w:t xml:space="preserve">6.15. Форма и содержание жалобы, установлены частью 1 статьи 41 Федерального закона </w:t>
      </w:r>
      <w:r>
        <w:rPr>
          <w:rFonts w:eastAsia="Segoe UI Symbol" w:cs="Segoe UI Symbol"/>
          <w:color w:val="00000a"/>
          <w:sz w:val="28"/>
          <w:szCs w:val="28"/>
        </w:rPr>
        <w:t xml:space="preserve">№</w:t>
      </w:r>
      <w:r>
        <w:rPr>
          <w:color w:val="00000a"/>
          <w:sz w:val="28"/>
          <w:szCs w:val="28"/>
        </w:rPr>
        <w:t xml:space="preserve"> 248-ФЗ. </w:t>
      </w:r>
    </w:p>
    <w:p>
      <w:pPr>
        <w:jc w:val="both"/>
      </w:pPr>
      <w:r>
        <w:rPr>
          <w:color w:val="00000a"/>
          <w:sz w:val="28"/>
          <w:szCs w:val="28"/>
        </w:rPr>
        <w:tab/>
        <w:t xml:space="preserve">6.16.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w:t>
      </w:r>
      <w:r>
        <w:rPr>
          <w:sz w:val="28"/>
          <w:szCs w:val="28"/>
        </w:rPr>
        <w:t xml:space="preserve">й. Срок отказа в рассмотрении жалобы 5 рабочих дней со дня получения жалобы. </w:t>
      </w:r>
    </w:p>
    <w:p>
      <w:pPr>
        <w:jc w:val="both"/>
      </w:pPr>
      <w:r>
        <w:rPr>
          <w:color w:val="00000a"/>
          <w:sz w:val="28"/>
          <w:szCs w:val="28"/>
        </w:rPr>
        <w:tab/>
        <w:t xml:space="preserve">6.17.</w:t>
      </w:r>
      <w:r>
        <w:rPr>
          <w:color w:val="00000a"/>
          <w:sz w:val="28"/>
          <w:szCs w:val="28"/>
        </w:rPr>
        <w:tab/>
        <w:t xml:space="preserve">При рассмотрении жалобы контрольный орган использует подсистему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РФ,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pPr>
        <w:jc w:val="both"/>
        <w:rPr>
          <w:color w:val="000000" w:themeColor="text1"/>
        </w:rPr>
      </w:pPr>
      <w:r>
        <w:rPr>
          <w:color w:val="00000a"/>
          <w:sz w:val="28"/>
          <w:szCs w:val="28"/>
        </w:rPr>
        <w:tab/>
        <w:t xml:space="preserve">6.18. Срок рассмотрения руководителем контрольного органа жалобы составляет 15 рабочих дней со дня ее регистрации.</w:t>
      </w:r>
      <w:r>
        <w:rPr>
          <w:color w:val="ff3333"/>
          <w:sz w:val="28"/>
          <w:szCs w:val="28"/>
        </w:rPr>
        <w:t xml:space="preserve"> </w:t>
      </w:r>
      <w:r>
        <w:rPr>
          <w:color w:val="000000" w:themeColor="text1"/>
          <w:sz w:val="28"/>
          <w:szCs w:val="28"/>
        </w:rPr>
        <w:t xml:space="preserve">Жалоба контролируемого </w:t>
      </w:r>
      <w:r>
        <w:rPr>
          <w:color w:val="000000" w:themeColor="text1"/>
          <w:sz w:val="28"/>
          <w:szCs w:val="28"/>
        </w:rPr>
        <w:t xml:space="preserve">лица на решение об отнесении объектов контроля к соответствующей категории риска рассматривается в срок не более пяти рабочих дней.</w:t>
      </w:r>
    </w:p>
    <w:p>
      <w:pPr>
        <w:jc w:val="both"/>
      </w:pPr>
      <w:r>
        <w:rPr>
          <w:color w:val="00000a"/>
          <w:sz w:val="28"/>
          <w:szCs w:val="28"/>
        </w:rPr>
        <w:tab/>
        <w:t xml:space="preserve">6.19.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pPr>
        <w:jc w:val="both"/>
      </w:pPr>
      <w:r>
        <w:rPr>
          <w:color w:val="00000a"/>
          <w:sz w:val="28"/>
          <w:szCs w:val="28"/>
        </w:rPr>
        <w:tab/>
        <w:t xml:space="preserve">6.20.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pPr>
        <w:jc w:val="both"/>
      </w:pPr>
      <w:r>
        <w:rPr>
          <w:color w:val="00000a"/>
          <w:sz w:val="28"/>
          <w:szCs w:val="28"/>
        </w:rPr>
        <w:tab/>
        <w:t xml:space="preserve">6.21.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pPr>
        <w:jc w:val="both"/>
      </w:pPr>
      <w:r>
        <w:rPr>
          <w:color w:val="00000a"/>
          <w:sz w:val="28"/>
          <w:szCs w:val="28"/>
        </w:rPr>
        <w:tab/>
        <w:t xml:space="preserve">6.22. По итогам рассмотрения жалобы </w:t>
      </w:r>
      <w:r>
        <w:rPr>
          <w:color w:val="000000" w:themeColor="text1"/>
          <w:sz w:val="28"/>
          <w:szCs w:val="28"/>
        </w:rPr>
        <w:t xml:space="preserve">уполномоченное должностное лицо</w:t>
      </w:r>
      <w:r>
        <w:rPr>
          <w:color w:val="00000a"/>
          <w:sz w:val="28"/>
          <w:szCs w:val="28"/>
        </w:rPr>
        <w:t xml:space="preserve"> контрольного органа принимает одно из решений, предусмотренных частью 6 статьи 43 Федерального закона № 248-ФЗ. </w:t>
      </w:r>
    </w:p>
    <w:p>
      <w:pPr>
        <w:jc w:val="both"/>
      </w:pPr>
      <w:r>
        <w:rPr>
          <w:color w:val="00000a"/>
          <w:sz w:val="28"/>
          <w:szCs w:val="28"/>
        </w:rPr>
        <w:tab/>
        <w:t xml:space="preserve">6.23.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(функций) в срок не позднее одного рабочего дня со дня его принятия.</w:t>
      </w:r>
    </w:p>
    <w:p>
      <w:pPr>
        <w:pStyle w:val="a3"/>
        <w:tabs>
          <w:tab w:val="left" w:pos="1134"/>
        </w:tabs>
        <w:ind w:left="0"/>
        <w:jc w:val="both"/>
        <w:rPr>
          <w:rFonts w:eastAsia="Calibri"/>
          <w:sz w:val="16"/>
          <w:szCs w:val="16"/>
        </w:rPr>
      </w:pPr>
    </w:p>
    <w:p>
      <w:pPr>
        <w:pStyle w:val="a3"/>
        <w:ind w:left="0"/>
        <w:jc w:val="center"/>
        <w:rPr>
          <w:sz w:val="28"/>
          <w:szCs w:val="28"/>
        </w:rPr>
      </w:pPr>
      <w:r>
        <w:rPr>
          <w:rFonts w:eastAsia="Calibri"/>
          <w:b/>
          <w:sz w:val="28"/>
          <w:szCs w:val="28"/>
        </w:rPr>
        <w:t xml:space="preserve">7. Заключительные положения</w:t>
      </w:r>
    </w:p>
    <w:p>
      <w:pPr>
        <w:jc w:val="center"/>
        <w:rPr>
          <w:rFonts w:eastAsia="Calibri"/>
          <w:b/>
          <w:sz w:val="16"/>
          <w:szCs w:val="16"/>
        </w:rPr>
      </w:pPr>
    </w:p>
    <w:p>
      <w:pPr>
        <w:pStyle w:val="a3"/>
        <w:tabs>
          <w:tab w:val="left" w:pos="1134"/>
        </w:tabs>
        <w:ind w:left="0" w:right="-170" w:firstLine="737"/>
        <w:jc w:val="both"/>
      </w:pPr>
      <w:r>
        <w:rPr>
          <w:rFonts w:eastAsia="Calibri"/>
          <w:color w:val="000000"/>
          <w:sz w:val="28"/>
          <w:szCs w:val="28"/>
        </w:rPr>
        <w:t xml:space="preserve">7.1.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pPr>
        <w:pStyle w:val="a3"/>
        <w:tabs>
          <w:tab w:val="left" w:pos="1134"/>
        </w:tabs>
        <w:ind w:left="0" w:right="-170" w:firstLine="737"/>
        <w:jc w:val="both"/>
        <w:rPr>
          <w:color w:val="000000" w:themeColor="text1"/>
        </w:rPr>
      </w:pPr>
      <w:r>
        <w:rPr>
          <w:rFonts w:eastAsia="Calibri"/>
          <w:sz w:val="28"/>
          <w:szCs w:val="28"/>
        </w:rPr>
        <w:t xml:space="preserve">7.2. Контрольный орган при проведении контрольных мероприятий, использует типовые формы документов, утвержденные приказом Министерства экономического развития Российской Федерации от 31.03.2021 г. № 151                      «О типовых формах документов, используемых контрольным (надзорным) органом». </w:t>
      </w:r>
      <w:r>
        <w:rPr>
          <w:rFonts w:eastAsia="Calibri"/>
          <w:color w:val="000000" w:themeColor="text1"/>
          <w:sz w:val="28"/>
          <w:szCs w:val="28"/>
        </w:rPr>
        <w:t xml:space="preserve">Иные  формы документов, предусмотренные Положением, утверждаются муниципальным правовым актом контрольного органа. </w:t>
      </w:r>
    </w:p>
    <w:tbl>
      <w:tblPr>
        <w:tblStyle w:val="aff9"/>
        <w:tblW w:w="0" w:type="auto"/>
        <w:tblInd w:w="426"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ook w:val="04A0" w:firstRow="1" w:lastRow="0" w:firstColumn="1" w:lastColumn="0" w:noHBand="0" w:noVBand="1"/>
      </w:tblPr>
      <w:tblGrid>
        <w:gridCol w:w="4642"/>
        <w:gridCol w:w="4786"/>
      </w:tblGrid>
      <w:tr>
        <w:tc>
          <w:tcPr>
            <w:tcW w:w="4643" w:type="dxa"/>
          </w:tcPr>
          <w:p>
            <w:pPr>
              <w:pStyle w:val="ConsPlusNormal"/>
              <w:jc w:val="right"/>
              <w:rPr>
                <w:rFonts w:ascii="Times New Roman" w:hAnsi="Times New Roman" w:cs="Times New Roman"/>
                <w:b/>
                <w:color w:val="000000"/>
                <w:sz w:val="28"/>
                <w:szCs w:val="28"/>
              </w:rPr>
            </w:pPr>
          </w:p>
        </w:tc>
        <w:tc>
          <w:tcPr>
            <w:tcW w:w="4786" w:type="dxa"/>
          </w:tcPr>
          <w:p>
            <w:pPr>
              <w:pStyle w:val="ConsPlusNormal"/>
              <w:jc w:val="center"/>
              <w:rPr>
                <w:rFonts w:ascii="Times New Roman" w:hAnsi="Times New Roman" w:cs="Times New Roman"/>
                <w:b/>
                <w:sz w:val="28"/>
                <w:szCs w:val="28"/>
              </w:rPr>
            </w:pPr>
            <w:r>
              <w:rPr>
                <w:rFonts w:ascii="Times New Roman" w:hAnsi="Times New Roman" w:cs="Times New Roman"/>
                <w:b/>
                <w:color w:val="000000"/>
                <w:sz w:val="28"/>
                <w:szCs w:val="28"/>
              </w:rPr>
              <w:t xml:space="preserve">Приложение № 1</w:t>
            </w:r>
          </w:p>
          <w:p>
            <w:pPr>
              <w:pStyle w:val="ConsPlusNormal"/>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к Положению                                 о муниципальном контроле                 в сфере благоустройства                     в границах Ивнянского района Белгородской области</w:t>
            </w:r>
          </w:p>
          <w:p>
            <w:pPr>
              <w:pStyle w:val="ConsPlusNormal"/>
              <w:jc w:val="right"/>
              <w:rPr>
                <w:rFonts w:ascii="Times New Roman" w:hAnsi="Times New Roman" w:cs="Times New Roman"/>
                <w:b/>
                <w:color w:val="000000"/>
                <w:sz w:val="28"/>
                <w:szCs w:val="28"/>
              </w:rPr>
            </w:pPr>
          </w:p>
        </w:tc>
      </w:tr>
    </w:tbl>
    <w:p/>
    <w:p>
      <w:pPr>
        <w:pStyle w:val="ConsPlusTitle"/>
        <w:tabs>
          <w:tab w:val="left" w:pos="9356"/>
        </w:tabs>
        <w:ind w:left="426"/>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Индикаторы </w:t>
      </w:r>
    </w:p>
    <w:p>
      <w:pPr>
        <w:pStyle w:val="ConsPlusTitle"/>
        <w:tabs>
          <w:tab w:val="left" w:pos="9356"/>
        </w:tabs>
        <w:jc w:val="center"/>
        <w:rPr>
          <w:rFonts w:ascii="Times New Roman" w:hAnsi="Times New Roman" w:cs="Times New Roman"/>
        </w:rPr>
      </w:pPr>
      <w:r>
        <w:rPr>
          <w:rFonts w:ascii="Times New Roman" w:hAnsi="Times New Roman" w:cs="Times New Roman"/>
          <w:color w:val="000000"/>
          <w:sz w:val="28"/>
          <w:szCs w:val="28"/>
        </w:rPr>
        <w:t xml:space="preserve">риска нарушения обязательных требований, используемые для определения необходимости проведения внеплановых</w:t>
      </w:r>
      <w:r>
        <w:rPr>
          <w:rFonts w:ascii="Times New Roman" w:hAnsi="Times New Roman" w:cs="Times New Roman"/>
        </w:rPr>
        <w:t xml:space="preserve"> </w:t>
      </w:r>
      <w:r>
        <w:rPr>
          <w:rFonts w:ascii="Times New Roman" w:hAnsi="Times New Roman" w:cs="Times New Roman"/>
          <w:color w:val="000000"/>
          <w:sz w:val="28"/>
          <w:szCs w:val="28"/>
        </w:rPr>
        <w:t xml:space="preserve">проверок при осуществлении администрацией</w:t>
      </w:r>
      <w:r>
        <w:rPr>
          <w:rFonts w:ascii="Times New Roman" w:hAnsi="Times New Roman" w:cs="Times New Roman"/>
          <w:b w:val="0"/>
          <w:color w:val="000000"/>
          <w:sz w:val="28"/>
          <w:szCs w:val="28"/>
        </w:rPr>
        <w:t xml:space="preserve"> </w:t>
      </w:r>
      <w:r>
        <w:rPr>
          <w:rFonts w:ascii="Times New Roman" w:hAnsi="Times New Roman" w:cs="Times New Roman"/>
          <w:color w:val="000000"/>
          <w:sz w:val="28"/>
          <w:szCs w:val="28"/>
        </w:rPr>
        <w:t xml:space="preserve">Ивнянского района Белгородской области</w:t>
      </w:r>
      <w:r>
        <w:rPr>
          <w:rFonts w:ascii="Times New Roman" w:hAnsi="Times New Roman" w:cs="Times New Roman"/>
          <w:b w:val="0"/>
          <w:color w:val="000000"/>
          <w:sz w:val="28"/>
          <w:szCs w:val="28"/>
        </w:rPr>
        <w:t xml:space="preserve"> </w:t>
      </w:r>
      <w:r>
        <w:rPr>
          <w:rFonts w:ascii="Times New Roman" w:hAnsi="Times New Roman" w:cs="Times New Roman"/>
          <w:color w:val="000000"/>
          <w:sz w:val="28"/>
          <w:szCs w:val="28"/>
        </w:rPr>
        <w:t xml:space="preserve">муниципального контроля в сфере благоустройства</w:t>
      </w:r>
    </w:p>
    <w:p>
      <w:pPr>
        <w:pStyle w:val="ConsPlusNormal"/>
        <w:ind w:left="426" w:firstLine="540"/>
        <w:jc w:val="both"/>
        <w:rPr>
          <w:rFonts w:ascii="Times New Roman" w:hAnsi="Times New Roman" w:cs="Times New Roman"/>
          <w:color w:val="000000"/>
        </w:rPr>
      </w:pPr>
    </w:p>
    <w:p>
      <w:pPr>
        <w:pStyle w:val="ConsPlusNormal"/>
        <w:ind w:left="426" w:firstLine="540"/>
        <w:jc w:val="both"/>
        <w:rPr>
          <w:rFonts w:ascii="Times New Roman" w:hAnsi="Times New Roman" w:cs="Times New Roman"/>
          <w:color w:val="000000"/>
        </w:rPr>
      </w:pPr>
    </w:p>
    <w:p>
      <w:pPr>
        <w:ind w:firstLine="709"/>
        <w:jc w:val="both"/>
        <w:rPr>
          <w:sz w:val="28"/>
          <w:szCs w:val="28"/>
        </w:rPr>
      </w:pPr>
      <w:r>
        <w:rPr>
          <w:color w:val="000000"/>
          <w:sz w:val="28"/>
          <w:szCs w:val="28"/>
        </w:rPr>
        <w:t xml:space="preserve">  </w:t>
      </w:r>
      <w:r>
        <w:rPr>
          <w:sz w:val="28"/>
          <w:szCs w:val="28"/>
        </w:rPr>
        <w:t xml:space="preserve">1.</w:t>
      </w:r>
      <w:r>
        <w:rPr>
          <w:sz w:val="16"/>
          <w:szCs w:val="16"/>
        </w:rPr>
        <w:t xml:space="preserve"> </w:t>
      </w:r>
      <w:r>
        <w:rPr>
          <w:sz w:val="28"/>
          <w:szCs w:val="28"/>
        </w:rPr>
        <w:t xml:space="preserve">Выявление признаков нарушений Правил благоустройства </w:t>
      </w:r>
      <w:r>
        <w:rPr>
          <w:sz w:val="28"/>
          <w:szCs w:val="28"/>
        </w:rPr>
        <w:br/>
        <w:t xml:space="preserve">на территории Ивнянского района, утвержденных решением Муниципального совета муниципального района «Ивнянский район».</w:t>
      </w:r>
    </w:p>
    <w:p>
      <w:pPr>
        <w:ind w:firstLine="709"/>
        <w:jc w:val="both"/>
        <w:rPr>
          <w:sz w:val="28"/>
          <w:szCs w:val="28"/>
        </w:rPr>
      </w:pPr>
      <w:r>
        <w:rPr>
          <w:sz w:val="28"/>
          <w:szCs w:val="28"/>
        </w:rPr>
        <w:t xml:space="preserve">2.</w:t>
      </w:r>
      <w:r>
        <w:rPr>
          <w:sz w:val="16"/>
          <w:szCs w:val="16"/>
        </w:rPr>
        <w:t xml:space="preserve"> </w:t>
      </w:r>
      <w:r>
        <w:rPr>
          <w:sz w:val="28"/>
          <w:szCs w:val="28"/>
        </w:rPr>
        <w:t xml:space="preserve">Выявление признаков нарушений обязательных требований </w:t>
      </w:r>
      <w:r>
        <w:rPr>
          <w:sz w:val="28"/>
          <w:szCs w:val="28"/>
        </w:rPr>
        <w:br/>
        <w:t xml:space="preserve">к обеспечению доступности для инвалидов объектов социальной, инженерной  и транспортной инфраструктур и предоставляемых услуг, установленных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изданных в целях обеспечения доступности для инвалидов.</w:t>
      </w:r>
    </w:p>
    <w:p>
      <w:pPr>
        <w:ind w:firstLine="709"/>
        <w:jc w:val="both"/>
        <w:rPr>
          <w:sz w:val="28"/>
          <w:szCs w:val="28"/>
        </w:rPr>
      </w:pPr>
      <w:r>
        <w:rPr>
          <w:sz w:val="28"/>
          <w:szCs w:val="28"/>
        </w:rPr>
        <w:t xml:space="preserve">3. Поступление от органов государственной власти, органов местного самоуправления, юридических лиц, общественных объединений, индивидуальных предпринимателей, граждан, из средств массовой информации сведений о действиях (бездействии), которые могут свидетельствовать </w:t>
      </w:r>
      <w:r>
        <w:rPr>
          <w:sz w:val="28"/>
          <w:szCs w:val="28"/>
        </w:rPr>
        <w:br/>
        <w:t xml:space="preserve">о наличии нарушений обязательных  требований и (или) риска причинения вреда (ущерба) охраняемым законом ценностям.</w:t>
      </w:r>
    </w:p>
    <w:p>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 Двухкратный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контроля </w:t>
      </w:r>
      <w:r>
        <w:rPr>
          <w:rFonts w:ascii="Times New Roman" w:hAnsi="Times New Roman" w:cs="Times New Roman"/>
          <w:color w:val="000000"/>
          <w:sz w:val="28"/>
          <w:szCs w:val="28"/>
        </w:rPr>
        <w:br/>
        <w:t xml:space="preserve">в сфере благоустройства от граждан или организаций, информации от органов государственной власти, органов местного самоуправления, из средств массовой информации о фактах нарушений в отношении                                      их Градостроительного кодекса Российской Федерации.</w:t>
      </w:r>
    </w:p>
    <w:p>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 Поступление в орган муниципального контроля в сфере благоустройства в течение трёх месяцев подряд двух и более протоколов нарушения Правил благоустройства, содержащих решения по аналогичным вопросам повестки дня.</w:t>
      </w:r>
    </w:p>
    <w:p>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 Выявление в течение трех месяцев более пяти фактов несоответствия сведений (информации), полученных от гражданина или организации, </w:t>
      </w:r>
      <w:r>
        <w:rPr>
          <w:rFonts w:ascii="Times New Roman" w:hAnsi="Times New Roman" w:cs="Times New Roman"/>
          <w:color w:val="000000"/>
          <w:sz w:val="28"/>
          <w:szCs w:val="28"/>
        </w:rPr>
        <w:t xml:space="preserve">информации о нарушении Правил благоустройства, размещённой контролируемым лицом в государственной информационной системе.</w:t>
      </w:r>
    </w:p>
    <w:p>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7. Неоднократные (два и более) случаи аварий, произошедшие на одном </w:t>
      </w:r>
      <w:r>
        <w:rPr>
          <w:rFonts w:ascii="Times New Roman" w:hAnsi="Times New Roman" w:cs="Times New Roman"/>
          <w:color w:val="000000"/>
          <w:sz w:val="28"/>
          <w:szCs w:val="28"/>
        </w:rPr>
        <w:br/>
        <w:t xml:space="preserve">и том же объекте муниципального контроля в сфере благоустройства, в течение трех месяцев подряд.</w:t>
      </w:r>
    </w:p>
    <w:p>
      <w:pPr>
        <w:ind w:firstLine="709"/>
        <w:jc w:val="both"/>
        <w:rPr>
          <w:sz w:val="28"/>
          <w:szCs w:val="28"/>
        </w:rPr>
      </w:pPr>
      <w:r>
        <w:rPr>
          <w:sz w:val="28"/>
          <w:szCs w:val="28"/>
        </w:rPr>
        <w:t xml:space="preserve">8.</w:t>
      </w:r>
      <w:r>
        <w:rPr>
          <w:sz w:val="16"/>
          <w:szCs w:val="16"/>
        </w:rPr>
        <w:t xml:space="preserve"> </w:t>
      </w:r>
      <w:r>
        <w:rPr>
          <w:sz w:val="28"/>
          <w:szCs w:val="28"/>
        </w:rPr>
        <w:t xml:space="preserve">Несоблюдение требований, установленных Правилами благоустройства, к содержанию элементов благоустройства, в том числе требований к видам покрытий, ограждениям, водным устройствам, уличному коммунально-бытовому и техническому оборудованию, игровому                             и спортивному оборудованию, элементам освещения, средствам размещения информации </w:t>
      </w:r>
      <w:r>
        <w:rPr>
          <w:sz w:val="28"/>
          <w:szCs w:val="28"/>
        </w:rPr>
        <w:br/>
        <w:t xml:space="preserve">и рекламным конструкциям, малым архитектурным формам и городской мебели, некапитальным нестационарным сооружениям, элементам объектов капитального строительства;</w:t>
      </w:r>
    </w:p>
    <w:p>
      <w:pPr>
        <w:ind w:firstLine="709"/>
        <w:jc w:val="both"/>
        <w:rPr>
          <w:sz w:val="28"/>
          <w:szCs w:val="28"/>
        </w:rPr>
      </w:pPr>
      <w:r>
        <w:rPr>
          <w:sz w:val="28"/>
          <w:szCs w:val="28"/>
        </w:rPr>
        <w:t xml:space="preserve">9. Размещение объявлений и иной информации, не являющейся рекламой, в местах, не предназначенных для этих целей, а также самовольное нанесение рисунков и надписей на объектах благоустройства;                                 </w:t>
      </w:r>
    </w:p>
    <w:p>
      <w:pPr>
        <w:ind w:firstLine="709"/>
        <w:jc w:val="both"/>
        <w:rPr>
          <w:sz w:val="28"/>
          <w:szCs w:val="28"/>
        </w:rPr>
      </w:pPr>
      <w:r>
        <w:rPr>
          <w:sz w:val="28"/>
          <w:szCs w:val="28"/>
        </w:rPr>
        <w:t xml:space="preserve">10. Непроведение мероприятий по очистке от снега, наледи и сосулек кровель нежилых зданий, строений, сооружений и крыш их подъездов (входов), а также прилегающих к ним территорий в границах, определяемых</w:t>
      </w:r>
    </w:p>
    <w:p>
      <w:pPr>
        <w:jc w:val="both"/>
        <w:rPr>
          <w:sz w:val="28"/>
          <w:szCs w:val="28"/>
        </w:rPr>
      </w:pPr>
      <w:r>
        <w:rPr>
          <w:sz w:val="28"/>
          <w:szCs w:val="28"/>
        </w:rPr>
        <w:t xml:space="preserve">органами местного самоуправления в Правилах благоустройства;</w:t>
      </w:r>
    </w:p>
    <w:p>
      <w:pPr>
        <w:ind w:firstLine="709"/>
        <w:jc w:val="both"/>
        <w:rPr>
          <w:sz w:val="28"/>
          <w:szCs w:val="28"/>
        </w:rPr>
      </w:pPr>
      <w:r>
        <w:rPr>
          <w:sz w:val="28"/>
          <w:szCs w:val="28"/>
        </w:rPr>
        <w:t xml:space="preserve">11. Сброс, складирование и (или) временное хранение мусора, порубочных остатков деревьев, кустарников, а также листвы и других остатков растительности на территориях общего пользования вне мест, специально отведенных для этого;</w:t>
      </w:r>
    </w:p>
    <w:p>
      <w:pPr>
        <w:ind w:firstLine="709"/>
        <w:jc w:val="both"/>
        <w:rPr>
          <w:sz w:val="28"/>
          <w:szCs w:val="28"/>
        </w:rPr>
      </w:pPr>
      <w:r>
        <w:rPr>
          <w:sz w:val="28"/>
          <w:szCs w:val="28"/>
        </w:rPr>
        <w:t xml:space="preserve">12. В</w:t>
      </w:r>
      <w:r>
        <w:rPr>
          <w:bCs/>
          <w:sz w:val="28"/>
          <w:szCs w:val="28"/>
        </w:rPr>
        <w:t xml:space="preserve">ыгул животных</w:t>
      </w:r>
      <w:r>
        <w:rPr>
          <w:sz w:val="28"/>
          <w:szCs w:val="28"/>
        </w:rPr>
        <w:t xml:space="preserve"> и требования о недопустимости выпаса сельскохозяйственных животных и птиц на территориях общего пользования </w:t>
      </w:r>
      <w:r>
        <w:rPr>
          <w:sz w:val="28"/>
          <w:szCs w:val="28"/>
        </w:rPr>
        <w:br/>
        <w:t xml:space="preserve">и иных, предусмотренных Правилами благоустройства, территориях.</w:t>
      </w:r>
    </w:p>
    <w:p>
      <w:pPr>
        <w:pStyle w:val="ConsPlusNormal"/>
        <w:ind w:firstLine="709"/>
        <w:jc w:val="both"/>
        <w:rPr>
          <w:rFonts w:ascii="Times New Roman" w:hAnsi="Times New Roman" w:cs="Times New Roman"/>
          <w:color w:val="000000"/>
          <w:sz w:val="28"/>
          <w:szCs w:val="28"/>
        </w:rPr>
      </w:pPr>
    </w:p>
    <w:p>
      <w:pPr>
        <w:jc w:val="center"/>
        <w:rPr>
          <w:b/>
          <w:bCs/>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tbl>
      <w:tblPr>
        <w:tblW w:w="9480" w:type="dxa"/>
        <w:tblLook w:val="0000" w:firstRow="0" w:lastRow="0" w:firstColumn="0" w:lastColumn="0" w:noHBand="0" w:noVBand="0"/>
      </w:tblPr>
      <w:tblGrid>
        <w:gridCol w:w="4563"/>
        <w:gridCol w:w="2646"/>
        <w:gridCol w:w="2271"/>
      </w:tblGrid>
      <w:tr>
        <w:trPr>
          <w:trHeight w:val="305"/>
        </w:trPr>
        <w:tc>
          <w:tcPr>
            <w:tcW w:w="4563" w:type="dxa"/>
          </w:tcPr>
          <w:p>
            <w:pPr>
              <w:spacing w:after="160" w:line="259" w:lineRule="auto"/>
              <w:rPr>
                <w:szCs w:val="28"/>
              </w:rPr>
            </w:pPr>
          </w:p>
        </w:tc>
        <w:tc>
          <w:tcPr>
            <w:tcW w:w="2646" w:type="dxa"/>
          </w:tcPr>
          <w:p>
            <w:pPr>
              <w:rPr>
                <w:szCs w:val="28"/>
              </w:rPr>
            </w:pPr>
          </w:p>
        </w:tc>
        <w:tc>
          <w:tcPr>
            <w:tcW w:w="2271" w:type="dxa"/>
          </w:tcPr>
          <w:p>
            <w:pPr>
              <w:rPr>
                <w:szCs w:val="28"/>
              </w:rPr>
            </w:pPr>
          </w:p>
        </w:tc>
      </w:tr>
    </w:tbl>
    <w:p>
      <w:pPr>
        <w:rPr>
          <w:szCs w:val="28"/>
        </w:rPr>
      </w:pPr>
    </w:p>
    <w:p>
      <w:pPr>
        <w:rPr>
          <w:sz w:val="28"/>
          <w:szCs w:val="28"/>
        </w:rPr>
      </w:pPr>
    </w:p>
    <w:p>
      <w:pPr>
        <w:pStyle w:val="ConsPlusNormal"/>
        <w:ind w:firstLine="0"/>
        <w:rPr>
          <w:rFonts w:ascii="Times New Roman" w:hAnsi="Times New Roman" w:cs="Times New Roman"/>
          <w:color w:val="000000"/>
        </w:rPr>
      </w:pPr>
    </w:p>
    <w:sectPr>
      <w:headerReference w:type="even" r:id="rId9"/>
      <w:headerReference w:type="default" r:id="rId10"/>
      <w:footerReference w:type="default" r:id="rId11"/>
      <w:pgSz w:w="11906" w:h="16838"/>
      <w:pgMar w:top="1134" w:right="567" w:bottom="879" w:left="1701" w:header="720" w:footer="680" w:gutter="0"/>
      <w:cols w:space="720"/>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Symbol">
    <w:panose1 w:val="020B0502040504020204"/>
  </w:font>
  <w:font w:name="Symbol">
    <w:panose1 w:val="05010000000000000000"/>
  </w:font>
  <w:font w:name="Wingdings">
    <w:panose1 w:val="05010000000000000000"/>
  </w:font>
  <w:font w:name="Verdana">
    <w:panose1 w:val="020B0604030504040204"/>
  </w:font>
  <w:font w:name="Liberation Mono">
    <w:panose1 w:val="02070409020205020404"/>
  </w:font>
  <w:font w:name="Calibri">
    <w:panose1 w:val="020F0502020204030204"/>
  </w:font>
  <w:font w:name="Courier New">
    <w:panose1 w:val="02070309020205020404"/>
  </w:font>
  <w:font w:name="Droid Sans Fallback">
    <w:panose1 w:val="02000603000000000000"/>
  </w:font>
  <w:font w:name="Droid Sans Devanagari">
    <w:panose1 w:val="02000603000000000000"/>
  </w:font>
  <w:font w:name="MS Mincho">
    <w:panose1 w:val="02020503050405090304"/>
  </w:font>
  <w:font w:name="Tahoma">
    <w:panose1 w:val="020B0604030504040204"/>
  </w:font>
  <w:font w:name="Arial">
    <w:panose1 w:val="020B0604020202020204"/>
  </w:font>
  <w:font w:name="Times New Roman">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Header"/>
      <w:framePr w:wrap="none" w:vAnchor="text" w:hAnchor="margin" w:xAlign="center" w:y="1"/>
      <w:rPr>
        <w:rStyle w:val="aff1"/>
      </w:rPr>
    </w:pPr>
    <w:r>
      <w:rPr>
        <w:rStyle w:val="aff1"/>
      </w:rPr>
      <w:fldChar w:fldCharType="begin"/>
    </w:r>
    <w:r>
      <w:rPr>
        <w:rStyle w:val="aff1"/>
      </w:rPr>
      <w:instrText xml:space="preserve"> PAGE </w:instrText>
    </w:r>
    <w:r>
      <w:rPr>
        <w:rStyle w:val="aff1"/>
      </w:rPr>
      <w:fldChar w:fldCharType="end"/>
    </w:r>
  </w:p>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Header"/>
      <w:framePr w:wrap="none" w:vAnchor="text" w:hAnchor="margin" w:xAlign="center" w:y="1"/>
      <w:rPr>
        <w:rStyle w:val="aff1"/>
      </w:rPr>
    </w:pPr>
    <w:r>
      <w:rPr>
        <w:rStyle w:val="aff1"/>
      </w:rPr>
      <w:fldChar w:fldCharType="begin"/>
    </w:r>
    <w:r>
      <w:rPr>
        <w:rStyle w:val="aff1"/>
      </w:rPr>
      <w:instrText xml:space="preserve"> PAGE </w:instrText>
    </w:r>
    <w:r>
      <w:rPr>
        <w:rStyle w:val="aff1"/>
      </w:rPr>
      <w:fldChar w:fldCharType="separate"/>
    </w:r>
    <w:r>
      <w:rPr>
        <w:rStyle w:val="aff1"/>
      </w:rPr>
      <w:t xml:space="preserve">20</w:t>
    </w:r>
    <w:r>
      <w:rPr>
        <w:rStyle w:val="aff1"/>
      </w:rPr>
      <w:fldChar w:fldCharType="end"/>
    </w:r>
  </w:p>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tplc="787229E6">
      <w:start w:val="1"/>
      <w:numFmt w:val="decimal"/>
      <w:lvlText w:val="%1)"/>
      <w:lvlJc w:val="left"/>
      <w:pPr>
        <w:ind w:left="1417" w:hanging="360"/>
      </w:pPr>
    </w:lvl>
    <w:lvl w:ilvl="1" w:tplc="AD2622B8">
      <w:start w:val="1"/>
      <w:numFmt w:val="lowerLetter"/>
      <w:lvlText w:val="%2."/>
      <w:lvlJc w:val="left"/>
      <w:pPr>
        <w:ind w:left="2137" w:hanging="360"/>
      </w:pPr>
    </w:lvl>
    <w:lvl w:ilvl="2" w:tplc="6ADAB29C">
      <w:start w:val="1"/>
      <w:numFmt w:val="lowerRoman"/>
      <w:lvlText w:val="%3."/>
      <w:lvlJc w:val="right"/>
      <w:pPr>
        <w:ind w:left="2857" w:hanging="180"/>
      </w:pPr>
    </w:lvl>
    <w:lvl w:ilvl="3" w:tplc="8542B926">
      <w:start w:val="1"/>
      <w:numFmt w:val="decimal"/>
      <w:lvlText w:val="%4."/>
      <w:lvlJc w:val="left"/>
      <w:pPr>
        <w:ind w:left="3577" w:hanging="360"/>
      </w:pPr>
    </w:lvl>
    <w:lvl w:ilvl="4" w:tplc="9BFED918">
      <w:start w:val="1"/>
      <w:numFmt w:val="lowerLetter"/>
      <w:lvlText w:val="%5."/>
      <w:lvlJc w:val="left"/>
      <w:pPr>
        <w:ind w:left="4297" w:hanging="360"/>
      </w:pPr>
    </w:lvl>
    <w:lvl w:ilvl="5" w:tplc="EC96F690">
      <w:start w:val="1"/>
      <w:numFmt w:val="lowerRoman"/>
      <w:lvlText w:val="%6."/>
      <w:lvlJc w:val="right"/>
      <w:pPr>
        <w:ind w:left="5017" w:hanging="180"/>
      </w:pPr>
    </w:lvl>
    <w:lvl w:ilvl="6" w:tplc="72583960">
      <w:start w:val="1"/>
      <w:numFmt w:val="decimal"/>
      <w:lvlText w:val="%7."/>
      <w:lvlJc w:val="left"/>
      <w:pPr>
        <w:ind w:left="5737" w:hanging="360"/>
      </w:pPr>
    </w:lvl>
    <w:lvl w:ilvl="7" w:tplc="A63CF018">
      <w:start w:val="1"/>
      <w:numFmt w:val="lowerLetter"/>
      <w:lvlText w:val="%8."/>
      <w:lvlJc w:val="left"/>
      <w:pPr>
        <w:ind w:left="6457" w:hanging="360"/>
      </w:pPr>
    </w:lvl>
    <w:lvl w:ilvl="8" w:tplc="8074544A">
      <w:start w:val="1"/>
      <w:numFmt w:val="lowerRoman"/>
      <w:lvlText w:val="%9."/>
      <w:lvlJc w:val="right"/>
      <w:pPr>
        <w:ind w:left="7177" w:hanging="180"/>
      </w:pPr>
    </w:lvl>
  </w:abstractNum>
  <w:abstractNum w:abstractNumId="1">
    <w:multiLevelType w:val="hybridMultilevel"/>
    <w:lvl w:ilvl="0" w:tplc="853266BE">
      <w:start w:val="1"/>
      <w:numFmt w:val="bullet"/>
      <w:lvlText w:val="–"/>
      <w:lvlJc w:val="left"/>
      <w:pPr>
        <w:ind w:left="1418" w:hanging="360"/>
      </w:pPr>
      <w:rPr>
        <w:rFonts w:hint="default" w:ascii="Arial" w:hAnsi="Arial" w:eastAsia="Arial" w:cs="Arial"/>
      </w:rPr>
    </w:lvl>
    <w:lvl w:ilvl="1" w:tplc="E30607A2">
      <w:start w:val="1"/>
      <w:numFmt w:val="bullet"/>
      <w:lvlText w:val="o"/>
      <w:lvlJc w:val="left"/>
      <w:pPr>
        <w:ind w:left="2138" w:hanging="360"/>
      </w:pPr>
      <w:rPr>
        <w:rFonts w:hint="default" w:ascii="Courier New" w:hAnsi="Courier New" w:eastAsia="Courier New" w:cs="Courier New"/>
      </w:rPr>
    </w:lvl>
    <w:lvl w:ilvl="2" w:tplc="46A46DBC">
      <w:start w:val="1"/>
      <w:numFmt w:val="bullet"/>
      <w:lvlText w:val="§"/>
      <w:lvlJc w:val="left"/>
      <w:pPr>
        <w:ind w:left="2858" w:hanging="360"/>
      </w:pPr>
      <w:rPr>
        <w:rFonts w:hint="default" w:ascii="Wingdings" w:hAnsi="Wingdings" w:eastAsia="Wingdings" w:cs="Wingdings"/>
      </w:rPr>
    </w:lvl>
    <w:lvl w:ilvl="3" w:tplc="5C164668">
      <w:start w:val="1"/>
      <w:numFmt w:val="bullet"/>
      <w:lvlText w:val="·"/>
      <w:lvlJc w:val="left"/>
      <w:pPr>
        <w:ind w:left="3578" w:hanging="360"/>
      </w:pPr>
      <w:rPr>
        <w:rFonts w:hint="default" w:ascii="Symbol" w:hAnsi="Symbol" w:eastAsia="Symbol" w:cs="Symbol"/>
      </w:rPr>
    </w:lvl>
    <w:lvl w:ilvl="4" w:tplc="703419B2">
      <w:start w:val="1"/>
      <w:numFmt w:val="bullet"/>
      <w:lvlText w:val="o"/>
      <w:lvlJc w:val="left"/>
      <w:pPr>
        <w:ind w:left="4298" w:hanging="360"/>
      </w:pPr>
      <w:rPr>
        <w:rFonts w:hint="default" w:ascii="Courier New" w:hAnsi="Courier New" w:eastAsia="Courier New" w:cs="Courier New"/>
      </w:rPr>
    </w:lvl>
    <w:lvl w:ilvl="5" w:tplc="04326EC4">
      <w:start w:val="1"/>
      <w:numFmt w:val="bullet"/>
      <w:lvlText w:val="§"/>
      <w:lvlJc w:val="left"/>
      <w:pPr>
        <w:ind w:left="5018" w:hanging="360"/>
      </w:pPr>
      <w:rPr>
        <w:rFonts w:hint="default" w:ascii="Wingdings" w:hAnsi="Wingdings" w:eastAsia="Wingdings" w:cs="Wingdings"/>
      </w:rPr>
    </w:lvl>
    <w:lvl w:ilvl="6" w:tplc="AF3AF0EC">
      <w:start w:val="1"/>
      <w:numFmt w:val="bullet"/>
      <w:lvlText w:val="·"/>
      <w:lvlJc w:val="left"/>
      <w:pPr>
        <w:ind w:left="5738" w:hanging="360"/>
      </w:pPr>
      <w:rPr>
        <w:rFonts w:hint="default" w:ascii="Symbol" w:hAnsi="Symbol" w:eastAsia="Symbol" w:cs="Symbol"/>
      </w:rPr>
    </w:lvl>
    <w:lvl w:ilvl="7" w:tplc="1C6E2A18">
      <w:start w:val="1"/>
      <w:numFmt w:val="bullet"/>
      <w:lvlText w:val="o"/>
      <w:lvlJc w:val="left"/>
      <w:pPr>
        <w:ind w:left="6458" w:hanging="360"/>
      </w:pPr>
      <w:rPr>
        <w:rFonts w:hint="default" w:ascii="Courier New" w:hAnsi="Courier New" w:eastAsia="Courier New" w:cs="Courier New"/>
      </w:rPr>
    </w:lvl>
    <w:lvl w:ilvl="8" w:tplc="2352750C">
      <w:start w:val="1"/>
      <w:numFmt w:val="bullet"/>
      <w:lvlText w:val="§"/>
      <w:lvlJc w:val="left"/>
      <w:pPr>
        <w:ind w:left="7178" w:hanging="360"/>
      </w:pPr>
      <w:rPr>
        <w:rFonts w:hint="default" w:ascii="Wingdings" w:hAnsi="Wingdings" w:eastAsia="Wingdings" w:cs="Wingdings"/>
      </w:rPr>
    </w:lvl>
  </w:abstractNum>
  <w:abstractNum w:abstractNumId="2">
    <w:multiLevelType w:val="hybridMultilevel"/>
    <w:lvl w:ilvl="0" w:tplc="3196C4CA">
      <w:start w:val="1"/>
      <w:numFmt w:val="decimal"/>
      <w:lvlText w:val="%1)"/>
      <w:lvlJc w:val="left"/>
      <w:pPr>
        <w:ind w:left="1417" w:hanging="360"/>
      </w:pPr>
    </w:lvl>
    <w:lvl w:ilvl="1" w:tplc="2D02058C">
      <w:start w:val="1"/>
      <w:numFmt w:val="lowerLetter"/>
      <w:lvlText w:val="%2."/>
      <w:lvlJc w:val="left"/>
      <w:pPr>
        <w:ind w:left="2137" w:hanging="360"/>
      </w:pPr>
    </w:lvl>
    <w:lvl w:ilvl="2" w:tplc="26FCEB50">
      <w:start w:val="1"/>
      <w:numFmt w:val="lowerRoman"/>
      <w:lvlText w:val="%3."/>
      <w:lvlJc w:val="right"/>
      <w:pPr>
        <w:ind w:left="2857" w:hanging="180"/>
      </w:pPr>
    </w:lvl>
    <w:lvl w:ilvl="3" w:tplc="00ECAA46">
      <w:start w:val="1"/>
      <w:numFmt w:val="decimal"/>
      <w:lvlText w:val="%4."/>
      <w:lvlJc w:val="left"/>
      <w:pPr>
        <w:ind w:left="3577" w:hanging="360"/>
      </w:pPr>
    </w:lvl>
    <w:lvl w:ilvl="4" w:tplc="CF7EC04A">
      <w:start w:val="1"/>
      <w:numFmt w:val="lowerLetter"/>
      <w:lvlText w:val="%5."/>
      <w:lvlJc w:val="left"/>
      <w:pPr>
        <w:ind w:left="4297" w:hanging="360"/>
      </w:pPr>
    </w:lvl>
    <w:lvl w:ilvl="5" w:tplc="4AC26CE8">
      <w:start w:val="1"/>
      <w:numFmt w:val="lowerRoman"/>
      <w:lvlText w:val="%6."/>
      <w:lvlJc w:val="right"/>
      <w:pPr>
        <w:ind w:left="5017" w:hanging="180"/>
      </w:pPr>
    </w:lvl>
    <w:lvl w:ilvl="6" w:tplc="570CC7DC">
      <w:start w:val="1"/>
      <w:numFmt w:val="decimal"/>
      <w:lvlText w:val="%7."/>
      <w:lvlJc w:val="left"/>
      <w:pPr>
        <w:ind w:left="5737" w:hanging="360"/>
      </w:pPr>
    </w:lvl>
    <w:lvl w:ilvl="7" w:tplc="010215B2">
      <w:start w:val="1"/>
      <w:numFmt w:val="lowerLetter"/>
      <w:lvlText w:val="%8."/>
      <w:lvlJc w:val="left"/>
      <w:pPr>
        <w:ind w:left="6457" w:hanging="360"/>
      </w:pPr>
    </w:lvl>
    <w:lvl w:ilvl="8" w:tplc="CEAE7100">
      <w:start w:val="1"/>
      <w:numFmt w:val="lowerRoman"/>
      <w:lvlText w:val="%9."/>
      <w:lvlJc w:val="right"/>
      <w:pPr>
        <w:ind w:left="7177" w:hanging="180"/>
      </w:pPr>
    </w:lvl>
  </w:abstractNum>
  <w:abstractNum w:abstractNumId="3">
    <w:multiLevelType w:val="hybridMultilevel"/>
    <w:lvl w:ilvl="0" w:tplc="17F8DC1C">
      <w:start w:val="1"/>
      <w:numFmt w:val="bullet"/>
      <w:lvlText w:val="–"/>
      <w:lvlJc w:val="left"/>
      <w:pPr>
        <w:ind w:left="1418" w:hanging="360"/>
      </w:pPr>
      <w:rPr>
        <w:rFonts w:hint="default" w:ascii="Arial" w:hAnsi="Arial" w:eastAsia="Arial" w:cs="Arial"/>
      </w:rPr>
    </w:lvl>
    <w:lvl w:ilvl="1" w:tplc="B78E5970">
      <w:start w:val="1"/>
      <w:numFmt w:val="bullet"/>
      <w:lvlText w:val="o"/>
      <w:lvlJc w:val="left"/>
      <w:pPr>
        <w:ind w:left="2138" w:hanging="360"/>
      </w:pPr>
      <w:rPr>
        <w:rFonts w:hint="default" w:ascii="Courier New" w:hAnsi="Courier New" w:eastAsia="Courier New" w:cs="Courier New"/>
      </w:rPr>
    </w:lvl>
    <w:lvl w:ilvl="2" w:tplc="82DA5AD4">
      <w:start w:val="1"/>
      <w:numFmt w:val="bullet"/>
      <w:lvlText w:val="§"/>
      <w:lvlJc w:val="left"/>
      <w:pPr>
        <w:ind w:left="2858" w:hanging="360"/>
      </w:pPr>
      <w:rPr>
        <w:rFonts w:hint="default" w:ascii="Wingdings" w:hAnsi="Wingdings" w:eastAsia="Wingdings" w:cs="Wingdings"/>
      </w:rPr>
    </w:lvl>
    <w:lvl w:ilvl="3" w:tplc="CCCAD92E">
      <w:start w:val="1"/>
      <w:numFmt w:val="bullet"/>
      <w:lvlText w:val="·"/>
      <w:lvlJc w:val="left"/>
      <w:pPr>
        <w:ind w:left="3578" w:hanging="360"/>
      </w:pPr>
      <w:rPr>
        <w:rFonts w:hint="default" w:ascii="Symbol" w:hAnsi="Symbol" w:eastAsia="Symbol" w:cs="Symbol"/>
      </w:rPr>
    </w:lvl>
    <w:lvl w:ilvl="4" w:tplc="5574C0B8">
      <w:start w:val="1"/>
      <w:numFmt w:val="bullet"/>
      <w:lvlText w:val="o"/>
      <w:lvlJc w:val="left"/>
      <w:pPr>
        <w:ind w:left="4298" w:hanging="360"/>
      </w:pPr>
      <w:rPr>
        <w:rFonts w:hint="default" w:ascii="Courier New" w:hAnsi="Courier New" w:eastAsia="Courier New" w:cs="Courier New"/>
      </w:rPr>
    </w:lvl>
    <w:lvl w:ilvl="5" w:tplc="D066523A">
      <w:start w:val="1"/>
      <w:numFmt w:val="bullet"/>
      <w:lvlText w:val="§"/>
      <w:lvlJc w:val="left"/>
      <w:pPr>
        <w:ind w:left="5018" w:hanging="360"/>
      </w:pPr>
      <w:rPr>
        <w:rFonts w:hint="default" w:ascii="Wingdings" w:hAnsi="Wingdings" w:eastAsia="Wingdings" w:cs="Wingdings"/>
      </w:rPr>
    </w:lvl>
    <w:lvl w:ilvl="6" w:tplc="ECB0B9EC">
      <w:start w:val="1"/>
      <w:numFmt w:val="bullet"/>
      <w:lvlText w:val="·"/>
      <w:lvlJc w:val="left"/>
      <w:pPr>
        <w:ind w:left="5738" w:hanging="360"/>
      </w:pPr>
      <w:rPr>
        <w:rFonts w:hint="default" w:ascii="Symbol" w:hAnsi="Symbol" w:eastAsia="Symbol" w:cs="Symbol"/>
      </w:rPr>
    </w:lvl>
    <w:lvl w:ilvl="7" w:tplc="16FAE7F2">
      <w:start w:val="1"/>
      <w:numFmt w:val="bullet"/>
      <w:lvlText w:val="o"/>
      <w:lvlJc w:val="left"/>
      <w:pPr>
        <w:ind w:left="6458" w:hanging="360"/>
      </w:pPr>
      <w:rPr>
        <w:rFonts w:hint="default" w:ascii="Courier New" w:hAnsi="Courier New" w:eastAsia="Courier New" w:cs="Courier New"/>
      </w:rPr>
    </w:lvl>
    <w:lvl w:ilvl="8" w:tplc="F1C6D470">
      <w:start w:val="1"/>
      <w:numFmt w:val="bullet"/>
      <w:lvlText w:val="§"/>
      <w:lvlJc w:val="left"/>
      <w:pPr>
        <w:ind w:left="7178" w:hanging="360"/>
      </w:pPr>
      <w:rPr>
        <w:rFonts w:hint="default" w:ascii="Wingdings" w:hAnsi="Wingdings" w:eastAsia="Wingdings" w:cs="Wingdings"/>
      </w:rPr>
    </w:lvl>
  </w:abstractNum>
  <w:abstractNum w:abstractNumId="4">
    <w:multiLevelType w:val="hybridMultilevel"/>
    <w:lvl w:ilvl="0" w:tplc="5190924A">
      <w:start w:val="1"/>
      <w:numFmt w:val="decimal"/>
      <w:lvlText w:val="%1)"/>
      <w:lvlJc w:val="left"/>
      <w:pPr>
        <w:ind w:left="1418" w:hanging="360"/>
      </w:pPr>
    </w:lvl>
    <w:lvl w:ilvl="1" w:tplc="BCD4973A">
      <w:start w:val="1"/>
      <w:numFmt w:val="lowerLetter"/>
      <w:lvlText w:val="%2."/>
      <w:lvlJc w:val="left"/>
      <w:pPr>
        <w:ind w:left="2138" w:hanging="360"/>
      </w:pPr>
    </w:lvl>
    <w:lvl w:ilvl="2" w:tplc="0436C358">
      <w:start w:val="1"/>
      <w:numFmt w:val="lowerRoman"/>
      <w:lvlText w:val="%3."/>
      <w:lvlJc w:val="right"/>
      <w:pPr>
        <w:ind w:left="2858" w:hanging="180"/>
      </w:pPr>
    </w:lvl>
    <w:lvl w:ilvl="3" w:tplc="B8CCDF4E">
      <w:start w:val="1"/>
      <w:numFmt w:val="decimal"/>
      <w:lvlText w:val="%4."/>
      <w:lvlJc w:val="left"/>
      <w:pPr>
        <w:ind w:left="3578" w:hanging="360"/>
      </w:pPr>
    </w:lvl>
    <w:lvl w:ilvl="4" w:tplc="4EBE30E8">
      <w:start w:val="1"/>
      <w:numFmt w:val="lowerLetter"/>
      <w:lvlText w:val="%5."/>
      <w:lvlJc w:val="left"/>
      <w:pPr>
        <w:ind w:left="4298" w:hanging="360"/>
      </w:pPr>
    </w:lvl>
    <w:lvl w:ilvl="5" w:tplc="C25E1EEA">
      <w:start w:val="1"/>
      <w:numFmt w:val="lowerRoman"/>
      <w:lvlText w:val="%6."/>
      <w:lvlJc w:val="right"/>
      <w:pPr>
        <w:ind w:left="5018" w:hanging="180"/>
      </w:pPr>
    </w:lvl>
    <w:lvl w:ilvl="6" w:tplc="804440AA">
      <w:start w:val="1"/>
      <w:numFmt w:val="decimal"/>
      <w:lvlText w:val="%7."/>
      <w:lvlJc w:val="left"/>
      <w:pPr>
        <w:ind w:left="5738" w:hanging="360"/>
      </w:pPr>
    </w:lvl>
    <w:lvl w:ilvl="7" w:tplc="14160B1E">
      <w:start w:val="1"/>
      <w:numFmt w:val="lowerLetter"/>
      <w:lvlText w:val="%8."/>
      <w:lvlJc w:val="left"/>
      <w:pPr>
        <w:ind w:left="6458" w:hanging="360"/>
      </w:pPr>
    </w:lvl>
    <w:lvl w:ilvl="8" w:tplc="ED22D38A">
      <w:start w:val="1"/>
      <w:numFmt w:val="lowerRoman"/>
      <w:lvlText w:val="%9."/>
      <w:lvlJc w:val="right"/>
      <w:pPr>
        <w:ind w:left="7178" w:hanging="180"/>
      </w:pPr>
    </w:lvl>
  </w:abstractNum>
  <w:abstractNum w:abstractNumId="5">
    <w:multiLevelType w:val="hybridMultilevel"/>
    <w:lvl w:ilvl="0" w:tplc="EDC2BCA4">
      <w:start w:val="1"/>
      <w:numFmt w:val="none"/>
      <w:suff w:val="nothing"/>
      <w:lvlText w:val=""/>
      <w:lvlJc w:val="left"/>
      <w:pPr>
        <w:tabs>
          <w:tab w:val="num" w:pos="0"/>
        </w:tabs>
        <w:ind w:left="0" w:firstLine="0"/>
      </w:pPr>
    </w:lvl>
    <w:lvl w:ilvl="1" w:tplc="74EAA620">
      <w:start w:val="1"/>
      <w:numFmt w:val="none"/>
      <w:suff w:val="nothing"/>
      <w:lvlText w:val=""/>
      <w:lvlJc w:val="left"/>
      <w:pPr>
        <w:tabs>
          <w:tab w:val="num" w:pos="0"/>
        </w:tabs>
        <w:ind w:left="0" w:firstLine="0"/>
      </w:pPr>
    </w:lvl>
    <w:lvl w:ilvl="2" w:tplc="BB4C073E">
      <w:start w:val="1"/>
      <w:numFmt w:val="none"/>
      <w:pStyle w:val="Heading3"/>
      <w:suff w:val="nothing"/>
      <w:lvlText w:val=""/>
      <w:lvlJc w:val="left"/>
      <w:pPr>
        <w:tabs>
          <w:tab w:val="num" w:pos="0"/>
        </w:tabs>
        <w:ind w:left="0" w:firstLine="0"/>
      </w:pPr>
    </w:lvl>
    <w:lvl w:ilvl="3" w:tplc="21A4DB92">
      <w:start w:val="1"/>
      <w:numFmt w:val="none"/>
      <w:pStyle w:val="Heading4"/>
      <w:suff w:val="nothing"/>
      <w:lvlText w:val=""/>
      <w:lvlJc w:val="left"/>
      <w:pPr>
        <w:tabs>
          <w:tab w:val="num" w:pos="0"/>
        </w:tabs>
        <w:ind w:left="0" w:firstLine="0"/>
      </w:pPr>
    </w:lvl>
    <w:lvl w:ilvl="4" w:tplc="2F50604A">
      <w:start w:val="1"/>
      <w:numFmt w:val="none"/>
      <w:pStyle w:val="Heading5"/>
      <w:suff w:val="nothing"/>
      <w:lvlText w:val=""/>
      <w:lvlJc w:val="left"/>
      <w:pPr>
        <w:tabs>
          <w:tab w:val="num" w:pos="0"/>
        </w:tabs>
        <w:ind w:left="0" w:firstLine="0"/>
      </w:pPr>
    </w:lvl>
    <w:lvl w:ilvl="5" w:tplc="8CD8E1F4">
      <w:start w:val="1"/>
      <w:numFmt w:val="none"/>
      <w:pStyle w:val="Heading6"/>
      <w:suff w:val="nothing"/>
      <w:lvlText w:val=""/>
      <w:lvlJc w:val="left"/>
      <w:pPr>
        <w:tabs>
          <w:tab w:val="num" w:pos="0"/>
        </w:tabs>
        <w:ind w:left="0" w:firstLine="0"/>
      </w:pPr>
    </w:lvl>
    <w:lvl w:ilvl="6" w:tplc="F4DE7AA6">
      <w:start w:val="1"/>
      <w:numFmt w:val="none"/>
      <w:suff w:val="nothing"/>
      <w:lvlText w:val=""/>
      <w:lvlJc w:val="left"/>
      <w:pPr>
        <w:tabs>
          <w:tab w:val="num" w:pos="0"/>
        </w:tabs>
        <w:ind w:left="0" w:firstLine="0"/>
      </w:pPr>
    </w:lvl>
    <w:lvl w:ilvl="7" w:tplc="C8FACC6C">
      <w:start w:val="1"/>
      <w:numFmt w:val="none"/>
      <w:suff w:val="nothing"/>
      <w:lvlText w:val=""/>
      <w:lvlJc w:val="left"/>
      <w:pPr>
        <w:tabs>
          <w:tab w:val="num" w:pos="0"/>
        </w:tabs>
        <w:ind w:left="0" w:firstLine="0"/>
      </w:pPr>
    </w:lvl>
    <w:lvl w:ilvl="8" w:tplc="EC761452">
      <w:start w:val="1"/>
      <w:numFmt w:val="none"/>
      <w:suff w:val="nothing"/>
      <w:lvlText w:val=""/>
      <w:lvlJc w:val="left"/>
      <w:pPr>
        <w:tabs>
          <w:tab w:val="num" w:pos="0"/>
        </w:tabs>
        <w:ind w:left="0" w:firstLine="0"/>
      </w:pPr>
    </w:lvl>
  </w:abstractNum>
  <w:abstractNum w:abstractNumId="6">
    <w:multiLevelType w:val="hybridMultilevel"/>
    <w:lvl w:ilvl="0" w:tplc="28083290">
      <w:start w:val="1"/>
      <w:numFmt w:val="bullet"/>
      <w:lvlText w:val="–"/>
      <w:lvlJc w:val="left"/>
      <w:pPr>
        <w:ind w:left="1417" w:hanging="360"/>
      </w:pPr>
      <w:rPr>
        <w:rFonts w:hint="default" w:ascii="Arial" w:hAnsi="Arial" w:eastAsia="Arial" w:cs="Arial"/>
      </w:rPr>
    </w:lvl>
    <w:lvl w:ilvl="1" w:tplc="306020EE">
      <w:start w:val="1"/>
      <w:numFmt w:val="bullet"/>
      <w:lvlText w:val="o"/>
      <w:lvlJc w:val="left"/>
      <w:pPr>
        <w:ind w:left="2137" w:hanging="360"/>
      </w:pPr>
      <w:rPr>
        <w:rFonts w:hint="default" w:ascii="Courier New" w:hAnsi="Courier New" w:eastAsia="Courier New" w:cs="Courier New"/>
      </w:rPr>
    </w:lvl>
    <w:lvl w:ilvl="2" w:tplc="D1DEDB5E">
      <w:start w:val="1"/>
      <w:numFmt w:val="bullet"/>
      <w:lvlText w:val="§"/>
      <w:lvlJc w:val="left"/>
      <w:pPr>
        <w:ind w:left="2857" w:hanging="360"/>
      </w:pPr>
      <w:rPr>
        <w:rFonts w:hint="default" w:ascii="Wingdings" w:hAnsi="Wingdings" w:eastAsia="Wingdings" w:cs="Wingdings"/>
      </w:rPr>
    </w:lvl>
    <w:lvl w:ilvl="3" w:tplc="412EECC0">
      <w:start w:val="1"/>
      <w:numFmt w:val="bullet"/>
      <w:lvlText w:val="·"/>
      <w:lvlJc w:val="left"/>
      <w:pPr>
        <w:ind w:left="3577" w:hanging="360"/>
      </w:pPr>
      <w:rPr>
        <w:rFonts w:hint="default" w:ascii="Symbol" w:hAnsi="Symbol" w:eastAsia="Symbol" w:cs="Symbol"/>
      </w:rPr>
    </w:lvl>
    <w:lvl w:ilvl="4" w:tplc="46A488B8">
      <w:start w:val="1"/>
      <w:numFmt w:val="bullet"/>
      <w:lvlText w:val="o"/>
      <w:lvlJc w:val="left"/>
      <w:pPr>
        <w:ind w:left="4297" w:hanging="360"/>
      </w:pPr>
      <w:rPr>
        <w:rFonts w:hint="default" w:ascii="Courier New" w:hAnsi="Courier New" w:eastAsia="Courier New" w:cs="Courier New"/>
      </w:rPr>
    </w:lvl>
    <w:lvl w:ilvl="5" w:tplc="9C445B9E">
      <w:start w:val="1"/>
      <w:numFmt w:val="bullet"/>
      <w:lvlText w:val="§"/>
      <w:lvlJc w:val="left"/>
      <w:pPr>
        <w:ind w:left="5017" w:hanging="360"/>
      </w:pPr>
      <w:rPr>
        <w:rFonts w:hint="default" w:ascii="Wingdings" w:hAnsi="Wingdings" w:eastAsia="Wingdings" w:cs="Wingdings"/>
      </w:rPr>
    </w:lvl>
    <w:lvl w:ilvl="6" w:tplc="470E4EB0">
      <w:start w:val="1"/>
      <w:numFmt w:val="bullet"/>
      <w:lvlText w:val="·"/>
      <w:lvlJc w:val="left"/>
      <w:pPr>
        <w:ind w:left="5737" w:hanging="360"/>
      </w:pPr>
      <w:rPr>
        <w:rFonts w:hint="default" w:ascii="Symbol" w:hAnsi="Symbol" w:eastAsia="Symbol" w:cs="Symbol"/>
      </w:rPr>
    </w:lvl>
    <w:lvl w:ilvl="7" w:tplc="2DFA27C0">
      <w:start w:val="1"/>
      <w:numFmt w:val="bullet"/>
      <w:lvlText w:val="o"/>
      <w:lvlJc w:val="left"/>
      <w:pPr>
        <w:ind w:left="6457" w:hanging="360"/>
      </w:pPr>
      <w:rPr>
        <w:rFonts w:hint="default" w:ascii="Courier New" w:hAnsi="Courier New" w:eastAsia="Courier New" w:cs="Courier New"/>
      </w:rPr>
    </w:lvl>
    <w:lvl w:ilvl="8" w:tplc="796CA2E0">
      <w:start w:val="1"/>
      <w:numFmt w:val="bullet"/>
      <w:lvlText w:val="§"/>
      <w:lvlJc w:val="left"/>
      <w:pPr>
        <w:ind w:left="7177" w:hanging="360"/>
      </w:pPr>
      <w:rPr>
        <w:rFonts w:hint="default" w:ascii="Wingdings" w:hAnsi="Wingdings" w:eastAsia="Wingdings" w:cs="Wingdings"/>
      </w:rPr>
    </w:lvl>
  </w:abstractNum>
  <w:abstractNum w:abstractNumId="7">
    <w:multiLevelType w:val="hybridMultilevel"/>
    <w:lvl w:ilvl="0" w:tplc="77F0C82E">
      <w:start w:val="1"/>
      <w:numFmt w:val="bullet"/>
      <w:lvlText w:val="–"/>
      <w:lvlJc w:val="left"/>
      <w:pPr>
        <w:ind w:left="1446" w:hanging="360"/>
      </w:pPr>
      <w:rPr>
        <w:rFonts w:hint="default" w:ascii="Arial" w:hAnsi="Arial" w:eastAsia="Arial" w:cs="Arial"/>
      </w:rPr>
    </w:lvl>
    <w:lvl w:ilvl="1" w:tplc="323EBD02">
      <w:start w:val="1"/>
      <w:numFmt w:val="bullet"/>
      <w:lvlText w:val="o"/>
      <w:lvlJc w:val="left"/>
      <w:pPr>
        <w:ind w:left="2166" w:hanging="360"/>
      </w:pPr>
      <w:rPr>
        <w:rFonts w:hint="default" w:ascii="Courier New" w:hAnsi="Courier New" w:eastAsia="Courier New" w:cs="Courier New"/>
      </w:rPr>
    </w:lvl>
    <w:lvl w:ilvl="2" w:tplc="74F0C09C">
      <w:start w:val="1"/>
      <w:numFmt w:val="bullet"/>
      <w:lvlText w:val="§"/>
      <w:lvlJc w:val="left"/>
      <w:pPr>
        <w:ind w:left="2886" w:hanging="360"/>
      </w:pPr>
      <w:rPr>
        <w:rFonts w:hint="default" w:ascii="Wingdings" w:hAnsi="Wingdings" w:eastAsia="Wingdings" w:cs="Wingdings"/>
      </w:rPr>
    </w:lvl>
    <w:lvl w:ilvl="3" w:tplc="D30058B0">
      <w:start w:val="1"/>
      <w:numFmt w:val="bullet"/>
      <w:lvlText w:val="·"/>
      <w:lvlJc w:val="left"/>
      <w:pPr>
        <w:ind w:left="3606" w:hanging="360"/>
      </w:pPr>
      <w:rPr>
        <w:rFonts w:hint="default" w:ascii="Symbol" w:hAnsi="Symbol" w:eastAsia="Symbol" w:cs="Symbol"/>
      </w:rPr>
    </w:lvl>
    <w:lvl w:ilvl="4" w:tplc="D38C6074">
      <w:start w:val="1"/>
      <w:numFmt w:val="bullet"/>
      <w:lvlText w:val="o"/>
      <w:lvlJc w:val="left"/>
      <w:pPr>
        <w:ind w:left="4326" w:hanging="360"/>
      </w:pPr>
      <w:rPr>
        <w:rFonts w:hint="default" w:ascii="Courier New" w:hAnsi="Courier New" w:eastAsia="Courier New" w:cs="Courier New"/>
      </w:rPr>
    </w:lvl>
    <w:lvl w:ilvl="5" w:tplc="D722E544">
      <w:start w:val="1"/>
      <w:numFmt w:val="bullet"/>
      <w:lvlText w:val="§"/>
      <w:lvlJc w:val="left"/>
      <w:pPr>
        <w:ind w:left="5046" w:hanging="360"/>
      </w:pPr>
      <w:rPr>
        <w:rFonts w:hint="default" w:ascii="Wingdings" w:hAnsi="Wingdings" w:eastAsia="Wingdings" w:cs="Wingdings"/>
      </w:rPr>
    </w:lvl>
    <w:lvl w:ilvl="6" w:tplc="0BEA53B8">
      <w:start w:val="1"/>
      <w:numFmt w:val="bullet"/>
      <w:lvlText w:val="·"/>
      <w:lvlJc w:val="left"/>
      <w:pPr>
        <w:ind w:left="5766" w:hanging="360"/>
      </w:pPr>
      <w:rPr>
        <w:rFonts w:hint="default" w:ascii="Symbol" w:hAnsi="Symbol" w:eastAsia="Symbol" w:cs="Symbol"/>
      </w:rPr>
    </w:lvl>
    <w:lvl w:ilvl="7" w:tplc="2E70C9BE">
      <w:start w:val="1"/>
      <w:numFmt w:val="bullet"/>
      <w:lvlText w:val="o"/>
      <w:lvlJc w:val="left"/>
      <w:pPr>
        <w:ind w:left="6486" w:hanging="360"/>
      </w:pPr>
      <w:rPr>
        <w:rFonts w:hint="default" w:ascii="Courier New" w:hAnsi="Courier New" w:eastAsia="Courier New" w:cs="Courier New"/>
      </w:rPr>
    </w:lvl>
    <w:lvl w:ilvl="8" w:tplc="16506D5A">
      <w:start w:val="1"/>
      <w:numFmt w:val="bullet"/>
      <w:lvlText w:val="§"/>
      <w:lvlJc w:val="left"/>
      <w:pPr>
        <w:ind w:left="7206" w:hanging="360"/>
      </w:pPr>
      <w:rPr>
        <w:rFonts w:hint="default" w:ascii="Wingdings" w:hAnsi="Wingdings" w:eastAsia="Wingdings" w:cs="Wingdings"/>
      </w:rPr>
    </w:lvl>
  </w:abstractNum>
  <w:abstractNum w:abstractNumId="8">
    <w:multiLevelType w:val="hybridMultilevel"/>
    <w:lvl w:ilvl="0" w:tplc="E1287E1A">
      <w:start w:val="1"/>
      <w:numFmt w:val="bullet"/>
      <w:lvlText w:val="–"/>
      <w:lvlJc w:val="left"/>
      <w:pPr>
        <w:ind w:left="1163" w:hanging="360"/>
      </w:pPr>
      <w:rPr>
        <w:rFonts w:hint="default" w:ascii="Arial" w:hAnsi="Arial" w:eastAsia="Arial" w:cs="Arial"/>
      </w:rPr>
    </w:lvl>
    <w:lvl w:ilvl="1" w:tplc="30DE3252">
      <w:start w:val="1"/>
      <w:numFmt w:val="bullet"/>
      <w:lvlText w:val="o"/>
      <w:lvlJc w:val="left"/>
      <w:pPr>
        <w:ind w:left="1883" w:hanging="360"/>
      </w:pPr>
      <w:rPr>
        <w:rFonts w:hint="default" w:ascii="Courier New" w:hAnsi="Courier New" w:eastAsia="Courier New" w:cs="Courier New"/>
      </w:rPr>
    </w:lvl>
    <w:lvl w:ilvl="2" w:tplc="F47AA620">
      <w:start w:val="1"/>
      <w:numFmt w:val="bullet"/>
      <w:lvlText w:val="§"/>
      <w:lvlJc w:val="left"/>
      <w:pPr>
        <w:ind w:left="2603" w:hanging="360"/>
      </w:pPr>
      <w:rPr>
        <w:rFonts w:hint="default" w:ascii="Wingdings" w:hAnsi="Wingdings" w:eastAsia="Wingdings" w:cs="Wingdings"/>
      </w:rPr>
    </w:lvl>
    <w:lvl w:ilvl="3" w:tplc="B5340532">
      <w:start w:val="1"/>
      <w:numFmt w:val="bullet"/>
      <w:lvlText w:val="·"/>
      <w:lvlJc w:val="left"/>
      <w:pPr>
        <w:ind w:left="3323" w:hanging="360"/>
      </w:pPr>
      <w:rPr>
        <w:rFonts w:hint="default" w:ascii="Symbol" w:hAnsi="Symbol" w:eastAsia="Symbol" w:cs="Symbol"/>
      </w:rPr>
    </w:lvl>
    <w:lvl w:ilvl="4" w:tplc="B6F6ACD6">
      <w:start w:val="1"/>
      <w:numFmt w:val="bullet"/>
      <w:lvlText w:val="o"/>
      <w:lvlJc w:val="left"/>
      <w:pPr>
        <w:ind w:left="4043" w:hanging="360"/>
      </w:pPr>
      <w:rPr>
        <w:rFonts w:hint="default" w:ascii="Courier New" w:hAnsi="Courier New" w:eastAsia="Courier New" w:cs="Courier New"/>
      </w:rPr>
    </w:lvl>
    <w:lvl w:ilvl="5" w:tplc="12F818AA">
      <w:start w:val="1"/>
      <w:numFmt w:val="bullet"/>
      <w:lvlText w:val="§"/>
      <w:lvlJc w:val="left"/>
      <w:pPr>
        <w:ind w:left="4763" w:hanging="360"/>
      </w:pPr>
      <w:rPr>
        <w:rFonts w:hint="default" w:ascii="Wingdings" w:hAnsi="Wingdings" w:eastAsia="Wingdings" w:cs="Wingdings"/>
      </w:rPr>
    </w:lvl>
    <w:lvl w:ilvl="6" w:tplc="7FCACCD8">
      <w:start w:val="1"/>
      <w:numFmt w:val="bullet"/>
      <w:lvlText w:val="·"/>
      <w:lvlJc w:val="left"/>
      <w:pPr>
        <w:ind w:left="5483" w:hanging="360"/>
      </w:pPr>
      <w:rPr>
        <w:rFonts w:hint="default" w:ascii="Symbol" w:hAnsi="Symbol" w:eastAsia="Symbol" w:cs="Symbol"/>
      </w:rPr>
    </w:lvl>
    <w:lvl w:ilvl="7" w:tplc="0E4278E2">
      <w:start w:val="1"/>
      <w:numFmt w:val="bullet"/>
      <w:lvlText w:val="o"/>
      <w:lvlJc w:val="left"/>
      <w:pPr>
        <w:ind w:left="6203" w:hanging="360"/>
      </w:pPr>
      <w:rPr>
        <w:rFonts w:hint="default" w:ascii="Courier New" w:hAnsi="Courier New" w:eastAsia="Courier New" w:cs="Courier New"/>
      </w:rPr>
    </w:lvl>
    <w:lvl w:ilvl="8" w:tplc="F62A5DD6">
      <w:start w:val="1"/>
      <w:numFmt w:val="bullet"/>
      <w:lvlText w:val="§"/>
      <w:lvlJc w:val="left"/>
      <w:pPr>
        <w:ind w:left="6923" w:hanging="360"/>
      </w:pPr>
      <w:rPr>
        <w:rFonts w:hint="default" w:ascii="Wingdings" w:hAnsi="Wingdings" w:eastAsia="Wingdings" w:cs="Wingdings"/>
      </w:rPr>
    </w:lvl>
  </w:abstractNum>
  <w:abstractNum w:abstractNumId="9">
    <w:multiLevelType w:val="hybridMultilevel"/>
    <w:lvl w:ilvl="0" w:tplc="3FB45B36">
      <w:start w:val="1"/>
      <w:numFmt w:val="bullet"/>
      <w:lvlText w:val="–"/>
      <w:lvlJc w:val="left"/>
      <w:pPr>
        <w:ind w:left="1163" w:hanging="360"/>
      </w:pPr>
      <w:rPr>
        <w:rFonts w:hint="default" w:ascii="Arial" w:hAnsi="Arial" w:eastAsia="Arial" w:cs="Arial"/>
      </w:rPr>
    </w:lvl>
    <w:lvl w:ilvl="1" w:tplc="B204D036">
      <w:start w:val="1"/>
      <w:numFmt w:val="bullet"/>
      <w:lvlText w:val="o"/>
      <w:lvlJc w:val="left"/>
      <w:pPr>
        <w:ind w:left="1883" w:hanging="360"/>
      </w:pPr>
      <w:rPr>
        <w:rFonts w:hint="default" w:ascii="Courier New" w:hAnsi="Courier New" w:eastAsia="Courier New" w:cs="Courier New"/>
      </w:rPr>
    </w:lvl>
    <w:lvl w:ilvl="2" w:tplc="209459B0">
      <w:start w:val="1"/>
      <w:numFmt w:val="bullet"/>
      <w:lvlText w:val="§"/>
      <w:lvlJc w:val="left"/>
      <w:pPr>
        <w:ind w:left="2603" w:hanging="360"/>
      </w:pPr>
      <w:rPr>
        <w:rFonts w:hint="default" w:ascii="Wingdings" w:hAnsi="Wingdings" w:eastAsia="Wingdings" w:cs="Wingdings"/>
      </w:rPr>
    </w:lvl>
    <w:lvl w:ilvl="3" w:tplc="36F0E5E6">
      <w:start w:val="1"/>
      <w:numFmt w:val="bullet"/>
      <w:lvlText w:val="·"/>
      <w:lvlJc w:val="left"/>
      <w:pPr>
        <w:ind w:left="3323" w:hanging="360"/>
      </w:pPr>
      <w:rPr>
        <w:rFonts w:hint="default" w:ascii="Symbol" w:hAnsi="Symbol" w:eastAsia="Symbol" w:cs="Symbol"/>
      </w:rPr>
    </w:lvl>
    <w:lvl w:ilvl="4" w:tplc="32A40598">
      <w:start w:val="1"/>
      <w:numFmt w:val="bullet"/>
      <w:lvlText w:val="o"/>
      <w:lvlJc w:val="left"/>
      <w:pPr>
        <w:ind w:left="4043" w:hanging="360"/>
      </w:pPr>
      <w:rPr>
        <w:rFonts w:hint="default" w:ascii="Courier New" w:hAnsi="Courier New" w:eastAsia="Courier New" w:cs="Courier New"/>
      </w:rPr>
    </w:lvl>
    <w:lvl w:ilvl="5" w:tplc="FF0AE38C">
      <w:start w:val="1"/>
      <w:numFmt w:val="bullet"/>
      <w:lvlText w:val="§"/>
      <w:lvlJc w:val="left"/>
      <w:pPr>
        <w:ind w:left="4763" w:hanging="360"/>
      </w:pPr>
      <w:rPr>
        <w:rFonts w:hint="default" w:ascii="Wingdings" w:hAnsi="Wingdings" w:eastAsia="Wingdings" w:cs="Wingdings"/>
      </w:rPr>
    </w:lvl>
    <w:lvl w:ilvl="6" w:tplc="32B00108">
      <w:start w:val="1"/>
      <w:numFmt w:val="bullet"/>
      <w:lvlText w:val="·"/>
      <w:lvlJc w:val="left"/>
      <w:pPr>
        <w:ind w:left="5483" w:hanging="360"/>
      </w:pPr>
      <w:rPr>
        <w:rFonts w:hint="default" w:ascii="Symbol" w:hAnsi="Symbol" w:eastAsia="Symbol" w:cs="Symbol"/>
      </w:rPr>
    </w:lvl>
    <w:lvl w:ilvl="7" w:tplc="F80A3B9C">
      <w:start w:val="1"/>
      <w:numFmt w:val="bullet"/>
      <w:lvlText w:val="o"/>
      <w:lvlJc w:val="left"/>
      <w:pPr>
        <w:ind w:left="6203" w:hanging="360"/>
      </w:pPr>
      <w:rPr>
        <w:rFonts w:hint="default" w:ascii="Courier New" w:hAnsi="Courier New" w:eastAsia="Courier New" w:cs="Courier New"/>
      </w:rPr>
    </w:lvl>
    <w:lvl w:ilvl="8" w:tplc="51E2BE6A">
      <w:start w:val="1"/>
      <w:numFmt w:val="bullet"/>
      <w:lvlText w:val="§"/>
      <w:lvlJc w:val="left"/>
      <w:pPr>
        <w:ind w:left="6923" w:hanging="360"/>
      </w:pPr>
      <w:rPr>
        <w:rFonts w:hint="default" w:ascii="Wingdings" w:hAnsi="Wingdings" w:eastAsia="Wingdings" w:cs="Wingdings"/>
      </w:rPr>
    </w:lvl>
  </w:abstractNum>
  <w:abstractNum w:abstractNumId="10">
    <w:multiLevelType w:val="hybridMultilevel"/>
    <w:lvl w:ilvl="0" w:tplc="466AB5AA">
      <w:start w:val="1"/>
      <w:numFmt w:val="decimal"/>
      <w:lvlText w:val="%1)"/>
      <w:lvlJc w:val="left"/>
      <w:pPr>
        <w:ind w:left="1429" w:hanging="360"/>
      </w:pPr>
    </w:lvl>
    <w:lvl w:ilvl="1" w:tplc="F32A15FA">
      <w:start w:val="1"/>
      <w:numFmt w:val="lowerLetter"/>
      <w:lvlText w:val="%2."/>
      <w:lvlJc w:val="left"/>
      <w:pPr>
        <w:ind w:left="2149" w:hanging="360"/>
      </w:pPr>
    </w:lvl>
    <w:lvl w:ilvl="2" w:tplc="7D2C6042">
      <w:start w:val="1"/>
      <w:numFmt w:val="lowerRoman"/>
      <w:lvlText w:val="%3."/>
      <w:lvlJc w:val="right"/>
      <w:pPr>
        <w:ind w:left="2869" w:hanging="180"/>
      </w:pPr>
    </w:lvl>
    <w:lvl w:ilvl="3" w:tplc="4FC473A4">
      <w:start w:val="1"/>
      <w:numFmt w:val="decimal"/>
      <w:lvlText w:val="%4."/>
      <w:lvlJc w:val="left"/>
      <w:pPr>
        <w:ind w:left="3589" w:hanging="360"/>
      </w:pPr>
    </w:lvl>
    <w:lvl w:ilvl="4" w:tplc="D75A44DC">
      <w:start w:val="1"/>
      <w:numFmt w:val="lowerLetter"/>
      <w:lvlText w:val="%5."/>
      <w:lvlJc w:val="left"/>
      <w:pPr>
        <w:ind w:left="4309" w:hanging="360"/>
      </w:pPr>
    </w:lvl>
    <w:lvl w:ilvl="5" w:tplc="FB660DEC">
      <w:start w:val="1"/>
      <w:numFmt w:val="lowerRoman"/>
      <w:lvlText w:val="%6."/>
      <w:lvlJc w:val="right"/>
      <w:pPr>
        <w:ind w:left="5029" w:hanging="180"/>
      </w:pPr>
    </w:lvl>
    <w:lvl w:ilvl="6" w:tplc="93DA8C98">
      <w:start w:val="1"/>
      <w:numFmt w:val="decimal"/>
      <w:lvlText w:val="%7."/>
      <w:lvlJc w:val="left"/>
      <w:pPr>
        <w:ind w:left="5749" w:hanging="360"/>
      </w:pPr>
    </w:lvl>
    <w:lvl w:ilvl="7" w:tplc="151635AE">
      <w:start w:val="1"/>
      <w:numFmt w:val="lowerLetter"/>
      <w:lvlText w:val="%8."/>
      <w:lvlJc w:val="left"/>
      <w:pPr>
        <w:ind w:left="6469" w:hanging="360"/>
      </w:pPr>
    </w:lvl>
    <w:lvl w:ilvl="8" w:tplc="DD349532">
      <w:start w:val="1"/>
      <w:numFmt w:val="lowerRoman"/>
      <w:lvlText w:val="%9."/>
      <w:lvlJc w:val="right"/>
      <w:pPr>
        <w:ind w:left="7189" w:hanging="180"/>
      </w:pPr>
    </w:lvl>
  </w:abstractNum>
  <w:abstractNum w:abstractNumId="11">
    <w:multiLevelType w:val="hybridMultilevel"/>
    <w:lvl w:ilvl="0" w:tplc="96A48598">
      <w:start w:val="1"/>
      <w:numFmt w:val="decimal"/>
      <w:lvlText w:val="%1)"/>
      <w:lvlJc w:val="left"/>
      <w:pPr>
        <w:ind w:left="1417" w:hanging="360"/>
      </w:pPr>
    </w:lvl>
    <w:lvl w:ilvl="1" w:tplc="89C6117A">
      <w:start w:val="1"/>
      <w:numFmt w:val="lowerLetter"/>
      <w:lvlText w:val="%2."/>
      <w:lvlJc w:val="left"/>
      <w:pPr>
        <w:ind w:left="2137" w:hanging="360"/>
      </w:pPr>
    </w:lvl>
    <w:lvl w:ilvl="2" w:tplc="B67653C6">
      <w:start w:val="1"/>
      <w:numFmt w:val="lowerRoman"/>
      <w:lvlText w:val="%3."/>
      <w:lvlJc w:val="right"/>
      <w:pPr>
        <w:ind w:left="2857" w:hanging="180"/>
      </w:pPr>
    </w:lvl>
    <w:lvl w:ilvl="3" w:tplc="2C9A9050">
      <w:start w:val="1"/>
      <w:numFmt w:val="decimal"/>
      <w:lvlText w:val="%4."/>
      <w:lvlJc w:val="left"/>
      <w:pPr>
        <w:ind w:left="3577" w:hanging="360"/>
      </w:pPr>
    </w:lvl>
    <w:lvl w:ilvl="4" w:tplc="BB96E52E">
      <w:start w:val="1"/>
      <w:numFmt w:val="lowerLetter"/>
      <w:lvlText w:val="%5."/>
      <w:lvlJc w:val="left"/>
      <w:pPr>
        <w:ind w:left="4297" w:hanging="360"/>
      </w:pPr>
    </w:lvl>
    <w:lvl w:ilvl="5" w:tplc="9190D5A6">
      <w:start w:val="1"/>
      <w:numFmt w:val="lowerRoman"/>
      <w:lvlText w:val="%6."/>
      <w:lvlJc w:val="right"/>
      <w:pPr>
        <w:ind w:left="5017" w:hanging="180"/>
      </w:pPr>
    </w:lvl>
    <w:lvl w:ilvl="6" w:tplc="EEDAB4E8">
      <w:start w:val="1"/>
      <w:numFmt w:val="decimal"/>
      <w:lvlText w:val="%7."/>
      <w:lvlJc w:val="left"/>
      <w:pPr>
        <w:ind w:left="5737" w:hanging="360"/>
      </w:pPr>
    </w:lvl>
    <w:lvl w:ilvl="7" w:tplc="DC2AB2FE">
      <w:start w:val="1"/>
      <w:numFmt w:val="lowerLetter"/>
      <w:lvlText w:val="%8."/>
      <w:lvlJc w:val="left"/>
      <w:pPr>
        <w:ind w:left="6457" w:hanging="360"/>
      </w:pPr>
    </w:lvl>
    <w:lvl w:ilvl="8" w:tplc="3EC22904">
      <w:start w:val="1"/>
      <w:numFmt w:val="lowerRoman"/>
      <w:lvlText w:val="%9."/>
      <w:lvlJc w:val="right"/>
      <w:pPr>
        <w:ind w:left="7177" w:hanging="180"/>
      </w:pPr>
    </w:lvl>
  </w:abstractNum>
  <w:abstractNum w:abstractNumId="12">
    <w:multiLevelType w:val="hybridMultilevel"/>
    <w:lvl w:ilvl="0" w:tplc="F260F672">
      <w:start w:val="1"/>
      <w:numFmt w:val="decimal"/>
      <w:lvlText w:val="%1."/>
      <w:lvlJc w:val="left"/>
      <w:pPr>
        <w:ind w:left="709" w:hanging="360"/>
      </w:pPr>
      <w:rPr>
        <w:b/>
      </w:rPr>
    </w:lvl>
    <w:lvl w:ilvl="1" w:tplc="1DA6C8D2">
      <w:start w:val="1"/>
      <w:numFmt w:val="lowerLetter"/>
      <w:lvlText w:val="%2."/>
      <w:lvlJc w:val="left"/>
      <w:pPr>
        <w:ind w:left="1429" w:hanging="360"/>
      </w:pPr>
    </w:lvl>
    <w:lvl w:ilvl="2" w:tplc="A3F4536C">
      <w:start w:val="1"/>
      <w:numFmt w:val="lowerRoman"/>
      <w:lvlText w:val="%3."/>
      <w:lvlJc w:val="right"/>
      <w:pPr>
        <w:ind w:left="2149" w:hanging="180"/>
      </w:pPr>
    </w:lvl>
    <w:lvl w:ilvl="3" w:tplc="A96654CE">
      <w:start w:val="1"/>
      <w:numFmt w:val="decimal"/>
      <w:lvlText w:val="%4."/>
      <w:lvlJc w:val="left"/>
      <w:pPr>
        <w:ind w:left="2869" w:hanging="360"/>
      </w:pPr>
    </w:lvl>
    <w:lvl w:ilvl="4" w:tplc="BF628B8E">
      <w:start w:val="1"/>
      <w:numFmt w:val="lowerLetter"/>
      <w:lvlText w:val="%5."/>
      <w:lvlJc w:val="left"/>
      <w:pPr>
        <w:ind w:left="3589" w:hanging="360"/>
      </w:pPr>
    </w:lvl>
    <w:lvl w:ilvl="5" w:tplc="6518C690">
      <w:start w:val="1"/>
      <w:numFmt w:val="lowerRoman"/>
      <w:lvlText w:val="%6."/>
      <w:lvlJc w:val="right"/>
      <w:pPr>
        <w:ind w:left="4309" w:hanging="180"/>
      </w:pPr>
    </w:lvl>
    <w:lvl w:ilvl="6" w:tplc="2744DD1A">
      <w:start w:val="1"/>
      <w:numFmt w:val="decimal"/>
      <w:lvlText w:val="%7."/>
      <w:lvlJc w:val="left"/>
      <w:pPr>
        <w:ind w:left="5029" w:hanging="360"/>
      </w:pPr>
    </w:lvl>
    <w:lvl w:ilvl="7" w:tplc="BC7EAFF0">
      <w:start w:val="1"/>
      <w:numFmt w:val="lowerLetter"/>
      <w:lvlText w:val="%8."/>
      <w:lvlJc w:val="left"/>
      <w:pPr>
        <w:ind w:left="5749" w:hanging="360"/>
      </w:pPr>
    </w:lvl>
    <w:lvl w:ilvl="8" w:tplc="33360D46">
      <w:start w:val="1"/>
      <w:numFmt w:val="lowerRoman"/>
      <w:lvlText w:val="%9."/>
      <w:lvlJc w:val="right"/>
      <w:pPr>
        <w:ind w:left="6469" w:hanging="180"/>
      </w:pPr>
    </w:lvl>
  </w:abstractNum>
  <w:abstractNum w:abstractNumId="13">
    <w:multiLevelType w:val="hybridMultilevel"/>
    <w:lvl w:ilvl="0" w:tplc="D05C158E">
      <w:start w:val="1"/>
      <w:numFmt w:val="decimal"/>
      <w:lvlText w:val="%1)"/>
      <w:lvlJc w:val="left"/>
      <w:pPr>
        <w:ind w:left="1417" w:hanging="360"/>
      </w:pPr>
    </w:lvl>
    <w:lvl w:ilvl="1" w:tplc="52F634A2">
      <w:start w:val="1"/>
      <w:numFmt w:val="lowerLetter"/>
      <w:lvlText w:val="%2."/>
      <w:lvlJc w:val="left"/>
      <w:pPr>
        <w:ind w:left="2137" w:hanging="360"/>
      </w:pPr>
    </w:lvl>
    <w:lvl w:ilvl="2" w:tplc="AEFEF378">
      <w:start w:val="1"/>
      <w:numFmt w:val="lowerRoman"/>
      <w:lvlText w:val="%3."/>
      <w:lvlJc w:val="right"/>
      <w:pPr>
        <w:ind w:left="2857" w:hanging="180"/>
      </w:pPr>
    </w:lvl>
    <w:lvl w:ilvl="3" w:tplc="FC5E6E16">
      <w:start w:val="1"/>
      <w:numFmt w:val="decimal"/>
      <w:lvlText w:val="%4."/>
      <w:lvlJc w:val="left"/>
      <w:pPr>
        <w:ind w:left="3577" w:hanging="360"/>
      </w:pPr>
    </w:lvl>
    <w:lvl w:ilvl="4" w:tplc="B6CC4CE2">
      <w:start w:val="1"/>
      <w:numFmt w:val="lowerLetter"/>
      <w:lvlText w:val="%5."/>
      <w:lvlJc w:val="left"/>
      <w:pPr>
        <w:ind w:left="4297" w:hanging="360"/>
      </w:pPr>
    </w:lvl>
    <w:lvl w:ilvl="5" w:tplc="FA366FB2">
      <w:start w:val="1"/>
      <w:numFmt w:val="lowerRoman"/>
      <w:lvlText w:val="%6."/>
      <w:lvlJc w:val="right"/>
      <w:pPr>
        <w:ind w:left="5017" w:hanging="180"/>
      </w:pPr>
    </w:lvl>
    <w:lvl w:ilvl="6" w:tplc="6C3CCFAC">
      <w:start w:val="1"/>
      <w:numFmt w:val="decimal"/>
      <w:lvlText w:val="%7."/>
      <w:lvlJc w:val="left"/>
      <w:pPr>
        <w:ind w:left="5737" w:hanging="360"/>
      </w:pPr>
    </w:lvl>
    <w:lvl w:ilvl="7" w:tplc="6E6A4FA8">
      <w:start w:val="1"/>
      <w:numFmt w:val="lowerLetter"/>
      <w:lvlText w:val="%8."/>
      <w:lvlJc w:val="left"/>
      <w:pPr>
        <w:ind w:left="6457" w:hanging="360"/>
      </w:pPr>
    </w:lvl>
    <w:lvl w:ilvl="8" w:tplc="384AD1AA">
      <w:start w:val="1"/>
      <w:numFmt w:val="lowerRoman"/>
      <w:lvlText w:val="%9."/>
      <w:lvlJc w:val="right"/>
      <w:pPr>
        <w:ind w:left="7177" w:hanging="180"/>
      </w:pPr>
    </w:lvl>
  </w:abstractNum>
  <w:num w:numId="1">
    <w:abstractNumId w:val="5"/>
  </w:num>
  <w:num w:numId="2">
    <w:abstractNumId w:val="12"/>
  </w:num>
  <w:num w:numId="3">
    <w:abstractNumId w:val="7"/>
  </w:num>
  <w:num w:numId="4">
    <w:abstractNumId w:val="8"/>
  </w:num>
  <w:num w:numId="5">
    <w:abstractNumId w:val="3"/>
  </w:num>
  <w:num w:numId="6">
    <w:abstractNumId w:val="6"/>
  </w:num>
  <w:num w:numId="7">
    <w:abstractNumId w:val="1"/>
  </w:num>
  <w:num w:numId="8">
    <w:abstractNumId w:val="10"/>
  </w:num>
  <w:num w:numId="9">
    <w:abstractNumId w:val="0"/>
  </w:num>
  <w:num w:numId="10">
    <w:abstractNumId w:val="2"/>
  </w:num>
  <w:num w:numId="11">
    <w:abstractNumId w:val="9"/>
  </w:num>
  <w:num w:numId="12">
    <w:abstractNumId w:val="4"/>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a" w:default="1">
    <w:name w:val="Normal"/>
    <w:qFormat/>
    <w:pPr>
      <w:spacing w:after="0" w:line="240" w:lineRule="auto"/>
    </w:pPr>
    <w:rPr>
      <w:rFonts w:ascii="Times New Roman" w:hAnsi="Times New Roman" w:eastAsia="Times New Roman" w:cs="Times New Roman"/>
      <w:sz w:val="24"/>
      <w:szCs w:val="24"/>
      <w:lang w:eastAsia="ru-RU"/>
    </w:rPr>
  </w:style>
  <w:style w:type="character" w:styleId="a0" w:default="1">
    <w:name w:val="Default Paragraph Font"/>
    <w:uiPriority w:val="1"/>
    <w:semiHidden/>
    <w:unhideWhenUsed/>
  </w:style>
  <w:style w:type="table" w:styleId="a1" w:default="1">
    <w:name w:val="Normal Table"/>
    <w:uiPriority w:val="99"/>
    <w:semiHidden/>
    <w:unhideWhenUsed/>
    <w:qFormat/>
    <w:tblPr>
      <w:tblInd w:w="0" w:type="dxa"/>
      <w:tblCellMar>
        <w:left w:w="108" w:type="dxa"/>
        <w:top w:w="0" w:type="dxa"/>
        <w:right w:w="108" w:type="dxa"/>
        <w:bottom w:w="0" w:type="dxa"/>
      </w:tblCellMar>
    </w:tblPr>
  </w:style>
  <w:style w:type="numbering" w:styleId="a2" w:default="1">
    <w:name w:val="No List"/>
    <w:uiPriority w:val="99"/>
    <w:semiHidden/>
    <w:unhideWhenUsed/>
  </w:style>
  <w:style w:type="paragraph" w:styleId="Heading1" w:customStyle="1">
    <w:name w:val="Heading 1"/>
    <w:basedOn w:val="a"/>
    <w:next w:val="a"/>
    <w:link w:val="Heading1Char"/>
    <w:uiPriority w:val="9"/>
    <w:qFormat/>
    <w:pPr>
      <w:keepNext/>
      <w:keepLines/>
      <w:spacing w:before="480" w:after="200"/>
      <w:outlineLvl w:val="0"/>
    </w:pPr>
    <w:rPr>
      <w:rFonts w:ascii="Arial" w:hAnsi="Arial" w:eastAsia="Arial" w:cs="Arial"/>
      <w:sz w:val="40"/>
      <w:szCs w:val="40"/>
    </w:rPr>
  </w:style>
  <w:style w:type="character" w:styleId="Heading1Char" w:customStyle="1">
    <w:name w:val="Heading 1 Char"/>
    <w:basedOn w:val="a0"/>
    <w:link w:val="Heading1"/>
    <w:uiPriority w:val="9"/>
    <w:rPr>
      <w:rFonts w:ascii="Arial" w:hAnsi="Arial" w:eastAsia="Arial" w:cs="Arial"/>
      <w:sz w:val="40"/>
      <w:szCs w:val="40"/>
    </w:rPr>
  </w:style>
  <w:style w:type="paragraph" w:styleId="Heading2" w:customStyle="1">
    <w:name w:val="Heading 2"/>
    <w:basedOn w:val="a"/>
    <w:next w:val="a"/>
    <w:link w:val="Heading2Char"/>
    <w:uiPriority w:val="9"/>
    <w:unhideWhenUsed/>
    <w:qFormat/>
    <w:pPr>
      <w:keepNext/>
      <w:keepLines/>
      <w:spacing w:before="360" w:after="200"/>
      <w:outlineLvl w:val="1"/>
    </w:pPr>
    <w:rPr>
      <w:rFonts w:ascii="Arial" w:hAnsi="Arial" w:eastAsia="Arial" w:cs="Arial"/>
      <w:sz w:val="34"/>
    </w:rPr>
  </w:style>
  <w:style w:type="character" w:styleId="Heading2Char" w:customStyle="1">
    <w:name w:val="Heading 2 Char"/>
    <w:basedOn w:val="a0"/>
    <w:link w:val="Heading2"/>
    <w:uiPriority w:val="9"/>
    <w:rPr>
      <w:rFonts w:ascii="Arial" w:hAnsi="Arial" w:eastAsia="Arial" w:cs="Arial"/>
      <w:sz w:val="34"/>
    </w:rPr>
  </w:style>
  <w:style w:type="character" w:styleId="Heading3Char" w:customStyle="1">
    <w:name w:val="Heading 3 Char"/>
    <w:basedOn w:val="a0"/>
    <w:link w:val="Heading3"/>
    <w:uiPriority w:val="9"/>
    <w:rPr>
      <w:rFonts w:ascii="Arial" w:hAnsi="Arial" w:eastAsia="Arial" w:cs="Arial"/>
      <w:sz w:val="30"/>
      <w:szCs w:val="30"/>
    </w:rPr>
  </w:style>
  <w:style w:type="character" w:styleId="Heading4Char" w:customStyle="1">
    <w:name w:val="Heading 4 Char"/>
    <w:basedOn w:val="a0"/>
    <w:link w:val="Heading4"/>
    <w:uiPriority w:val="9"/>
    <w:rPr>
      <w:rFonts w:ascii="Arial" w:hAnsi="Arial" w:eastAsia="Arial" w:cs="Arial"/>
      <w:b/>
      <w:bCs/>
      <w:sz w:val="26"/>
      <w:szCs w:val="26"/>
    </w:rPr>
  </w:style>
  <w:style w:type="character" w:styleId="Heading5Char" w:customStyle="1">
    <w:name w:val="Heading 5 Char"/>
    <w:basedOn w:val="a0"/>
    <w:link w:val="Heading5"/>
    <w:uiPriority w:val="9"/>
    <w:rPr>
      <w:rFonts w:ascii="Arial" w:hAnsi="Arial" w:eastAsia="Arial" w:cs="Arial"/>
      <w:b/>
      <w:bCs/>
      <w:sz w:val="24"/>
      <w:szCs w:val="24"/>
    </w:rPr>
  </w:style>
  <w:style w:type="character" w:styleId="Heading6Char" w:customStyle="1">
    <w:name w:val="Heading 6 Char"/>
    <w:basedOn w:val="a0"/>
    <w:link w:val="Heading6"/>
    <w:uiPriority w:val="9"/>
    <w:rPr>
      <w:rFonts w:ascii="Arial" w:hAnsi="Arial" w:eastAsia="Arial" w:cs="Arial"/>
      <w:b/>
      <w:bCs/>
      <w:sz w:val="22"/>
      <w:szCs w:val="22"/>
    </w:rPr>
  </w:style>
  <w:style w:type="paragraph" w:styleId="Heading7" w:customStyle="1">
    <w:name w:val="Heading 7"/>
    <w:basedOn w:val="a"/>
    <w:next w:val="a"/>
    <w:link w:val="Heading7Char"/>
    <w:uiPriority w:val="9"/>
    <w:unhideWhenUsed/>
    <w:qFormat/>
    <w:pPr>
      <w:keepNext/>
      <w:keepLines/>
      <w:spacing w:before="320" w:after="200"/>
      <w:outlineLvl w:val="6"/>
    </w:pPr>
    <w:rPr>
      <w:rFonts w:ascii="Arial" w:hAnsi="Arial" w:eastAsia="Arial" w:cs="Arial"/>
      <w:b/>
      <w:bCs/>
      <w:i/>
      <w:iCs/>
      <w:sz w:val="22"/>
      <w:szCs w:val="22"/>
    </w:rPr>
  </w:style>
  <w:style w:type="character" w:styleId="Heading7Char" w:customStyle="1">
    <w:name w:val="Heading 7 Char"/>
    <w:basedOn w:val="a0"/>
    <w:link w:val="Heading7"/>
    <w:uiPriority w:val="9"/>
    <w:rPr>
      <w:rFonts w:ascii="Arial" w:hAnsi="Arial" w:eastAsia="Arial" w:cs="Arial"/>
      <w:b/>
      <w:bCs/>
      <w:i/>
      <w:iCs/>
      <w:sz w:val="22"/>
      <w:szCs w:val="22"/>
    </w:rPr>
  </w:style>
  <w:style w:type="paragraph" w:styleId="Heading8" w:customStyle="1">
    <w:name w:val="Heading 8"/>
    <w:basedOn w:val="a"/>
    <w:next w:val="a"/>
    <w:link w:val="Heading8Char"/>
    <w:uiPriority w:val="9"/>
    <w:unhideWhenUsed/>
    <w:qFormat/>
    <w:pPr>
      <w:keepNext/>
      <w:keepLines/>
      <w:spacing w:before="320" w:after="200"/>
      <w:outlineLvl w:val="7"/>
    </w:pPr>
    <w:rPr>
      <w:rFonts w:ascii="Arial" w:hAnsi="Arial" w:eastAsia="Arial" w:cs="Arial"/>
      <w:i/>
      <w:iCs/>
      <w:sz w:val="22"/>
      <w:szCs w:val="22"/>
    </w:rPr>
  </w:style>
  <w:style w:type="character" w:styleId="Heading8Char" w:customStyle="1">
    <w:name w:val="Heading 8 Char"/>
    <w:basedOn w:val="a0"/>
    <w:link w:val="Heading8"/>
    <w:uiPriority w:val="9"/>
    <w:rPr>
      <w:rFonts w:ascii="Arial" w:hAnsi="Arial" w:eastAsia="Arial" w:cs="Arial"/>
      <w:i/>
      <w:iCs/>
      <w:sz w:val="22"/>
      <w:szCs w:val="22"/>
    </w:rPr>
  </w:style>
  <w:style w:type="paragraph" w:styleId="Heading9" w:customStyle="1">
    <w:name w:val="Heading 9"/>
    <w:basedOn w:val="a"/>
    <w:next w:val="a"/>
    <w:link w:val="Heading9Char"/>
    <w:uiPriority w:val="9"/>
    <w:unhideWhenUsed/>
    <w:qFormat/>
    <w:pPr>
      <w:keepNext/>
      <w:keepLines/>
      <w:spacing w:before="320" w:after="200"/>
      <w:outlineLvl w:val="8"/>
    </w:pPr>
    <w:rPr>
      <w:rFonts w:ascii="Arial" w:hAnsi="Arial" w:eastAsia="Arial" w:cs="Arial"/>
      <w:i/>
      <w:iCs/>
      <w:sz w:val="21"/>
      <w:szCs w:val="21"/>
    </w:rPr>
  </w:style>
  <w:style w:type="character" w:styleId="Heading9Char" w:customStyle="1">
    <w:name w:val="Heading 9 Char"/>
    <w:basedOn w:val="a0"/>
    <w:link w:val="Heading9"/>
    <w:uiPriority w:val="9"/>
    <w:rPr>
      <w:rFonts w:ascii="Arial" w:hAnsi="Arial" w:eastAsia="Arial" w:cs="Arial"/>
      <w:i/>
      <w:iCs/>
      <w:sz w:val="21"/>
      <w:szCs w:val="21"/>
    </w:rPr>
  </w:style>
  <w:style w:type="paragraph" w:styleId="a3">
    <w:name w:val="List Paragraph"/>
    <w:basedOn w:val="a"/>
    <w:uiPriority w:val="34"/>
    <w:qFormat/>
    <w:pPr>
      <w:ind w:left="720"/>
      <w:contextualSpacing/>
    </w:pPr>
  </w:style>
  <w:style w:type="paragraph" w:styleId="a4">
    <w:name w:val="Title"/>
    <w:basedOn w:val="a"/>
    <w:next w:val="a"/>
    <w:link w:val="1"/>
    <w:uiPriority w:val="10"/>
    <w:qFormat/>
    <w:pPr>
      <w:spacing w:before="300" w:after="200"/>
      <w:contextualSpacing/>
    </w:pPr>
    <w:rPr>
      <w:sz w:val="48"/>
      <w:szCs w:val="48"/>
    </w:rPr>
  </w:style>
  <w:style w:type="character" w:styleId="1" w:customStyle="1">
    <w:name w:val="Название Знак1"/>
    <w:basedOn w:val="a0"/>
    <w:link w:val="a4"/>
    <w:uiPriority w:val="10"/>
    <w:rPr>
      <w:sz w:val="48"/>
      <w:szCs w:val="48"/>
    </w:rPr>
  </w:style>
  <w:style w:type="character" w:styleId="SubtitleChar" w:customStyle="1">
    <w:name w:val="Subtitle Char"/>
    <w:basedOn w:val="a0"/>
    <w:link w:val="a5"/>
    <w:uiPriority w:val="11"/>
    <w:rPr>
      <w:sz w:val="24"/>
      <w:szCs w:val="24"/>
    </w:rPr>
  </w:style>
  <w:style w:type="paragraph" w:styleId="2">
    <w:name w:val="Quote"/>
    <w:basedOn w:val="a"/>
    <w:next w:val="a"/>
    <w:link w:val="20"/>
    <w:uiPriority w:val="29"/>
    <w:qFormat/>
    <w:pPr>
      <w:ind w:left="720" w:right="720"/>
    </w:pPr>
    <w:rPr>
      <w:i/>
    </w:rPr>
  </w:style>
  <w:style w:type="character" w:styleId="20" w:customStyle="1">
    <w:name w:val="Цитата 2 Знак"/>
    <w:link w:val="2"/>
    <w:uiPriority w:val="29"/>
    <w:rPr>
      <w:i/>
    </w:rPr>
  </w:style>
  <w:style w:type="paragraph" w:styleId="a6">
    <w:name w:val="Intense Quote"/>
    <w:basedOn w:val="a"/>
    <w:next w:val="a"/>
    <w:link w:val="a7"/>
    <w:uiPriority w:val="30"/>
    <w:qFormat/>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styleId="a7" w:customStyle="1">
    <w:name w:val="Выделенная цитата Знак"/>
    <w:link w:val="a6"/>
    <w:uiPriority w:val="30"/>
    <w:rPr>
      <w:i/>
    </w:rPr>
  </w:style>
  <w:style w:type="character" w:styleId="HeaderChar" w:customStyle="1">
    <w:name w:val="Header Char"/>
    <w:basedOn w:val="a0"/>
    <w:link w:val="Header"/>
    <w:uiPriority w:val="99"/>
  </w:style>
  <w:style w:type="character" w:styleId="FooterChar" w:customStyle="1">
    <w:name w:val="Footer Char"/>
    <w:basedOn w:val="a0"/>
    <w:link w:val="Footer"/>
    <w:uiPriority w:val="99"/>
  </w:style>
  <w:style w:type="character" w:styleId="CaptionChar" w:customStyle="1">
    <w:name w:val="Caption Char"/>
    <w:basedOn w:val="a0"/>
    <w:link w:val="Caption"/>
    <w:uiPriority w:val="35"/>
    <w:rPr>
      <w:b/>
      <w:bCs/>
      <w:color w:val="4472c4" w:themeColor="accent1"/>
      <w:sz w:val="18"/>
      <w:szCs w:val="18"/>
    </w:rPr>
  </w:style>
  <w:style w:type="table" w:styleId="TableGridLight" w:customStyle="1">
    <w:name w:val="Table Grid Light"/>
    <w:basedOn w:val="a1"/>
    <w:uiPriority w:val="59"/>
    <w:pPr>
      <w:spacing w:after="0" w:line="240" w:lineRule="auto"/>
    </w:pPr>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style>
  <w:style w:type="table" w:styleId="PlainTable1" w:customStyle="1">
    <w:name w:val="Plain Table 1"/>
    <w:basedOn w:val="a1"/>
    <w:uiPriority w:val="59"/>
    <w:pPr>
      <w:spacing w:after="0" w:line="240" w:lineRule="auto"/>
    </w:pPr>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2f2f2" w:themeColor="text1" w:themeTint="00" w:fill="f2f2f2" w:themeFill="text1" w:themeFillTint="00"/>
      </w:tcPr>
    </w:tblStylePr>
    <w:tblStylePr w:type="band1Horz">
      <w:tcPr>
        <w:shd w:val="clear" w:color="f2f2f2" w:themeColor="text1" w:themeTint="00" w:fill="f2f2f2" w:themeFill="text1" w:themeFillTint="00"/>
      </w:tcPr>
    </w:tblStylePr>
  </w:style>
  <w:style w:type="table" w:styleId="PlainTable2" w:customStyle="1">
    <w:name w:val="Plain Table 2"/>
    <w:basedOn w:val="a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styleId="PlainTable3" w:customStyle="1">
    <w:name w:val="Plain Table 3"/>
    <w:basedOn w:val="a1"/>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Row">
      <w:rPr>
        <w:b/>
        <w:caps/>
        <w:color w:val="404040"/>
      </w:r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lastCol">
      <w:rPr>
        <w:b/>
        <w:caps/>
        <w:color w:val="404040"/>
      </w:rPr>
    </w:tblStylePr>
    <w:tblStylePr w:type="band1Vert">
      <w:rPr>
        <w:rFonts w:ascii="Arial" w:hAnsi="Arial"/>
        <w:color w:val="404040"/>
        <w:sz w:val="22"/>
      </w:rPr>
      <w:tcPr>
        <w:shd w:val="clear" w:color="f2f2f2" w:themeColor="text1" w:themeTint="00" w:fill="f2f2f2" w:themeFill="text1" w:themeFillTint="00"/>
      </w:tcPr>
    </w:tblStylePr>
    <w:tblStylePr w:type="band1Horz">
      <w:rPr>
        <w:rFonts w:ascii="Arial" w:hAnsi="Arial"/>
        <w:color w:val="404040"/>
        <w:sz w:val="22"/>
      </w:rPr>
      <w:tcPr>
        <w:shd w:val="clear" w:color="f2f2f2" w:themeColor="text1" w:themeTint="00" w:fill="f2f2f2" w:themeFill="text1" w:themeFillTint="00"/>
      </w:tcPr>
    </w:tblStylePr>
  </w:style>
  <w:style w:type="table" w:styleId="PlainTable4" w:customStyle="1">
    <w:name w:val="Plain Table 4"/>
    <w:basedOn w:val="a1"/>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2f2f2" w:themeColor="text1" w:themeTint="00" w:fill="f2f2f2" w:themeFill="text1" w:themeFillTint="00"/>
      </w:tcPr>
    </w:tblStylePr>
    <w:tblStylePr w:type="band1Horz">
      <w:rPr>
        <w:rFonts w:ascii="Arial" w:hAnsi="Arial"/>
        <w:color w:val="404040"/>
        <w:sz w:val="22"/>
      </w:rPr>
      <w:tcPr>
        <w:shd w:val="clear" w:color="f2f2f2" w:themeColor="text1" w:themeTint="00" w:fill="f2f2f2" w:themeFill="text1" w:themeFillTint="00"/>
      </w:tcPr>
    </w:tblStylePr>
  </w:style>
  <w:style w:type="table" w:styleId="PlainTable5" w:customStyle="1">
    <w:name w:val="Plain Table 5"/>
    <w:basedOn w:val="a1"/>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firstRow">
      <w:rPr>
        <w:i/>
        <w:color w:val="404040"/>
      </w:rPr>
      <w:tcPr>
        <w:tcBorders>
          <w:left w:val="none" w:color="000000" w:sz="4" w:space="0"/>
          <w:bottom w:val="single" w:color="404040" w:sz="4" w:space="0"/>
          <w:right w:val="none" w:color="000000" w:sz="4" w:space="0"/>
        </w:tcBorders>
        <w:shd w:val="clear" w:color="ffffff" w:fill="auto"/>
      </w:tcPr>
    </w:tblStylePr>
    <w:tblStylePr w:type="lastRow">
      <w:rPr>
        <w:i/>
        <w:color w:val="404040"/>
      </w:rPr>
      <w:tcPr>
        <w:tcBorders>
          <w:top w:val="single" w:color="404040" w:sz="4" w:space="0"/>
          <w:left w:val="none" w:color="000000" w:sz="4" w:space="0"/>
          <w:right w:val="none" w:color="000000" w:sz="4" w:space="0"/>
        </w:tcBorders>
        <w:shd w:val="clear" w:color="ffffff" w:fill="auto"/>
      </w:tcPr>
    </w:tblStylePr>
    <w:tblStylePr w:type="firstCol">
      <w:rPr>
        <w:i/>
        <w:color w:val="404040"/>
      </w:rPr>
      <w:pPr>
        <w:jc w:val="right"/>
      </w:p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2f2f2" w:themeColor="text1" w:themeTint="00" w:fill="f2f2f2" w:themeFill="text1" w:themeFillTint="00"/>
      </w:tcPr>
    </w:tblStylePr>
    <w:tblStylePr w:type="band1Horz">
      <w:rPr>
        <w:rFonts w:ascii="Arial" w:hAnsi="Arial"/>
        <w:color w:val="404040"/>
        <w:sz w:val="22"/>
      </w:rPr>
      <w:tcPr>
        <w:shd w:val="clear" w:color="f2f2f2" w:themeColor="text1" w:themeTint="00" w:fill="f2f2f2" w:themeFill="text1" w:themeFillTint="00"/>
      </w:tcPr>
    </w:tblStylePr>
  </w:style>
  <w:style w:type="table" w:styleId="GridTable1Light" w:customStyle="1">
    <w:name w:val="Grid Table 1 Light"/>
    <w:basedOn w:val="a1"/>
    <w:uiPriority w:val="99"/>
    <w:pPr>
      <w:spacing w:after="0" w:line="240" w:lineRule="auto"/>
    </w:pPr>
    <w:tblPr>
      <w:tblStyleRowBandSize w:val="1"/>
      <w:tblStyleColBandSize w:val="1"/>
      <w:tblInd w:w="0" w:type="dxa"/>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108" w:type="dxa"/>
        <w:top w:w="0" w:type="dxa"/>
        <w:right w:w="108" w:type="dxa"/>
        <w:bottom w:w="0" w:type="dxa"/>
      </w:tblCellMar>
    </w:tblPr>
    <w:tblStylePr w:type="firstRow">
      <w:rPr>
        <w:b/>
        <w:color w:val="404040"/>
      </w:rPr>
      <w:tcPr>
        <w:tcBorders>
          <w:bottom w:val="single" w:color="6A6A6A"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style>
  <w:style w:type="table" w:styleId="GridTable1Light-Accent1" w:customStyle="1">
    <w:name w:val="Grid Table 1 Light - Accent 1"/>
    <w:basedOn w:val="a1"/>
    <w:uiPriority w:val="99"/>
    <w:pPr>
      <w:spacing w:after="0" w:line="240" w:lineRule="auto"/>
    </w:pPr>
    <w:tblPr>
      <w:tblStyleRowBandSize w:val="1"/>
      <w:tblStyleColBandSize w:val="1"/>
      <w:tblInd w:w="0" w:type="dxa"/>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CellMar>
        <w:left w:w="108" w:type="dxa"/>
        <w:top w:w="0" w:type="dxa"/>
        <w:right w:w="108" w:type="dxa"/>
        <w:bottom w:w="0" w:type="dxa"/>
      </w:tblCellMar>
    </w:tblPr>
    <w:tblStylePr w:type="firstRow">
      <w:rPr>
        <w:b/>
        <w:color w:val="404040"/>
      </w:rPr>
      <w:tcPr>
        <w:tcBorders>
          <w:bottom w:val="single" w:color="91ACDC"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style>
  <w:style w:type="table" w:styleId="GridTable1Light-Accent2" w:customStyle="1">
    <w:name w:val="Grid Table 1 Light - Accent 2"/>
    <w:basedOn w:val="a1"/>
    <w:uiPriority w:val="99"/>
    <w:pPr>
      <w:spacing w:after="0" w:line="240" w:lineRule="auto"/>
    </w:pPr>
    <w:tblPr>
      <w:tblStyleRowBandSize w:val="1"/>
      <w:tblStyleColBandSize w:val="1"/>
      <w:tblInd w:w="0" w:type="dxa"/>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left w:w="108" w:type="dxa"/>
        <w:top w:w="0" w:type="dxa"/>
        <w:right w:w="108" w:type="dxa"/>
        <w:bottom w:w="0" w:type="dxa"/>
      </w:tblCellMar>
    </w:tblPr>
    <w:tblStylePr w:type="firstRow">
      <w:rPr>
        <w:b/>
        <w:color w:val="404040"/>
      </w:rPr>
      <w:tcPr>
        <w:tcBorders>
          <w:bottom w:val="single" w:color="F4B28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styleId="GridTable1Light-Accent3" w:customStyle="1">
    <w:name w:val="Grid Table 1 Light - Accent 3"/>
    <w:basedOn w:val="a1"/>
    <w:uiPriority w:val="99"/>
    <w:pPr>
      <w:spacing w:after="0" w:line="240" w:lineRule="auto"/>
    </w:pPr>
    <w:tblPr>
      <w:tblStyleRowBandSize w:val="1"/>
      <w:tblStyleColBandSize w:val="1"/>
      <w:tblInd w:w="0" w:type="dxa"/>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left w:w="108" w:type="dxa"/>
        <w:top w:w="0" w:type="dxa"/>
        <w:right w:w="108" w:type="dxa"/>
        <w:bottom w:w="0" w:type="dxa"/>
      </w:tblCellMar>
    </w:tblPr>
    <w:tblStylePr w:type="firstRow">
      <w:rPr>
        <w:b/>
        <w:color w:val="404040"/>
      </w:rPr>
      <w:tcPr>
        <w:tcBorders>
          <w:bottom w:val="single" w:color="CACACA"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styleId="GridTable1Light-Accent4" w:customStyle="1">
    <w:name w:val="Grid Table 1 Light - Accent 4"/>
    <w:basedOn w:val="a1"/>
    <w:uiPriority w:val="99"/>
    <w:pPr>
      <w:spacing w:after="0" w:line="240" w:lineRule="auto"/>
    </w:pPr>
    <w:tblPr>
      <w:tblStyleRowBandSize w:val="1"/>
      <w:tblStyleColBandSize w:val="1"/>
      <w:tblInd w:w="0" w:type="dxa"/>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left w:w="108" w:type="dxa"/>
        <w:top w:w="0" w:type="dxa"/>
        <w:right w:w="108" w:type="dxa"/>
        <w:bottom w:w="0" w:type="dxa"/>
      </w:tblCellMar>
    </w:tblPr>
    <w:tblStylePr w:type="firstRow">
      <w:rPr>
        <w:b/>
        <w:color w:val="404040"/>
      </w:rPr>
      <w:tcPr>
        <w:tcBorders>
          <w:bottom w:val="single" w:color="FFDA6A"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style>
  <w:style w:type="table" w:styleId="GridTable1Light-Accent5" w:customStyle="1">
    <w:name w:val="Grid Table 1 Light - Accent 5"/>
    <w:basedOn w:val="a1"/>
    <w:uiPriority w:val="99"/>
    <w:pPr>
      <w:spacing w:after="0" w:line="240" w:lineRule="auto"/>
    </w:pPr>
    <w:tblPr>
      <w:tblStyleRowBandSize w:val="1"/>
      <w:tblStyleColBandSize w:val="1"/>
      <w:tblInd w:w="0" w:type="dxa"/>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CellMar>
        <w:left w:w="108" w:type="dxa"/>
        <w:top w:w="0" w:type="dxa"/>
        <w:right w:w="108" w:type="dxa"/>
        <w:bottom w:w="0" w:type="dxa"/>
      </w:tblCellMar>
    </w:tblPr>
    <w:tblStylePr w:type="firstRow">
      <w:rPr>
        <w:b/>
        <w:color w:val="404040"/>
      </w:rPr>
      <w:tcPr>
        <w:tcBorders>
          <w:bottom w:val="single" w:color="9EC4E6"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style>
  <w:style w:type="table" w:styleId="GridTable1Light-Accent6" w:customStyle="1">
    <w:name w:val="Grid Table 1 Light - Accent 6"/>
    <w:basedOn w:val="a1"/>
    <w:uiPriority w:val="99"/>
    <w:pPr>
      <w:spacing w:after="0" w:line="240" w:lineRule="auto"/>
    </w:pPr>
    <w:tblPr>
      <w:tblStyleRowBandSize w:val="1"/>
      <w:tblStyleColBandSize w:val="1"/>
      <w:tblInd w:w="0" w:type="dxa"/>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left w:w="108" w:type="dxa"/>
        <w:top w:w="0" w:type="dxa"/>
        <w:right w:w="108" w:type="dxa"/>
        <w:bottom w:w="0" w:type="dxa"/>
      </w:tblCellMar>
    </w:tblPr>
    <w:tblStylePr w:type="firstRow">
      <w:rPr>
        <w:b/>
        <w:color w:val="404040"/>
      </w:rPr>
      <w:tcPr>
        <w:tcBorders>
          <w:bottom w:val="single" w:color="AAD190"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table" w:styleId="GridTable2" w:customStyle="1">
    <w:name w:val="Grid Table 2"/>
    <w:basedOn w:val="a1"/>
    <w:uiPriority w:val="99"/>
    <w:pPr>
      <w:spacing w:after="0" w:line="240" w:lineRule="auto"/>
    </w:pPr>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6A6A6A" w:themeColor="text1" w:themeTint="95" w:sz="12" w:space="0"/>
          <w:right w:val="none" w:color="000000" w:sz="4" w:space="0"/>
        </w:tcBorders>
        <w:shd w:val="clear" w:color="ffffff" w:fill="auto"/>
      </w:tcPr>
    </w:tblStylePr>
    <w:tblStylePr w:type="lastRow">
      <w:rPr>
        <w:b/>
        <w:color w:val="404040"/>
      </w:rPr>
      <w:tcPr>
        <w:tcBorders>
          <w:top w:val="single" w:color="6A6A6A" w:themeColor="text1" w:themeTint="95"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bcbcb" w:themeColor="text1" w:themeTint="34" w:fill="cbcbcb" w:themeFill="text1" w:themeFillTint="34"/>
      </w:tcPr>
    </w:tblStylePr>
    <w:tblStylePr w:type="band1Horz">
      <w:rPr>
        <w:rFonts w:ascii="Arial" w:hAnsi="Arial"/>
        <w:color w:val="404040"/>
        <w:sz w:val="22"/>
      </w:rPr>
      <w:tcPr>
        <w:shd w:val="clear" w:color="cbcbcb" w:themeColor="text1" w:themeTint="34" w:fill="cbcbcb" w:themeFill="text1" w:themeFillTint="34"/>
      </w:tcPr>
    </w:tblStylePr>
  </w:style>
  <w:style w:type="table" w:styleId="GridTable2-Accent1" w:customStyle="1">
    <w:name w:val="Grid Table 2 - Accent 1"/>
    <w:basedOn w:val="a1"/>
    <w:uiPriority w:val="99"/>
    <w:pPr>
      <w:spacing w:after="0" w:line="240" w:lineRule="auto"/>
    </w:pPr>
    <w:tblPr>
      <w:tblStyleRowBandSize w:val="1"/>
      <w:tblStyleColBandSize w:val="1"/>
      <w:tblInd w:w="0" w:type="dxa"/>
      <w:tblBorders>
        <w:bottom w:val="single" w:color="537DC8" w:themeColor="accent1" w:themeTint="EA" w:sz="4" w:space="0"/>
        <w:insideH w:val="single" w:color="537DC8" w:themeColor="accent1" w:themeTint="EA" w:sz="4" w:space="0"/>
        <w:insideV w:val="single" w:color="537DC8" w:themeColor="accent1" w:themeTint="EA"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537DC8" w:themeColor="accent1" w:themeTint="EA" w:sz="12" w:space="0"/>
          <w:right w:val="none" w:color="000000" w:sz="4" w:space="0"/>
        </w:tcBorders>
        <w:shd w:val="clear" w:color="ffffff" w:fill="auto"/>
      </w:tcPr>
    </w:tblStylePr>
    <w:tblStylePr w:type="lastRow">
      <w:rPr>
        <w:b/>
        <w:color w:val="404040"/>
      </w:rPr>
      <w:tcPr>
        <w:tcBorders>
          <w:top w:val="single" w:color="537DC8" w:themeColor="accent1" w:themeTint="EA"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3" w:themeColor="accent1" w:themeTint="34" w:fill="d8e2f3" w:themeFill="accent1" w:themeFillTint="34"/>
      </w:tcPr>
    </w:tblStylePr>
    <w:tblStylePr w:type="band1Horz">
      <w:rPr>
        <w:rFonts w:ascii="Arial" w:hAnsi="Arial"/>
        <w:color w:val="404040"/>
        <w:sz w:val="22"/>
      </w:rPr>
      <w:tcPr>
        <w:shd w:val="clear" w:color="d8e2f3" w:themeColor="accent1" w:themeTint="34" w:fill="d8e2f3" w:themeFill="accent1" w:themeFillTint="34"/>
      </w:tcPr>
    </w:tblStylePr>
  </w:style>
  <w:style w:type="table" w:styleId="GridTable2-Accent2" w:customStyle="1">
    <w:name w:val="Grid Table 2 - Accent 2"/>
    <w:basedOn w:val="a1"/>
    <w:uiPriority w:val="99"/>
    <w:pPr>
      <w:spacing w:after="0" w:line="240" w:lineRule="auto"/>
    </w:pPr>
    <w:tblPr>
      <w:tblStyleRowBandSize w:val="1"/>
      <w:tblStyleColBandSize w:val="1"/>
      <w:tblInd w:w="0" w:type="dxa"/>
      <w:tblBorders>
        <w:bottom w:val="single" w:color="F4B184" w:themeColor="accent2" w:themeTint="97" w:sz="4" w:space="0"/>
        <w:insideH w:val="single" w:color="F4B184" w:themeColor="accent2" w:themeTint="97" w:sz="4" w:space="0"/>
        <w:insideV w:val="single" w:color="F4B184" w:themeColor="accent2" w:themeTint="97"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F4B184" w:themeColor="accent2" w:themeTint="97" w:sz="12" w:space="0"/>
          <w:right w:val="none" w:color="000000" w:sz="4" w:space="0"/>
        </w:tcBorders>
        <w:shd w:val="clear" w:color="ffffff" w:fill="auto"/>
      </w:tcPr>
    </w:tblStylePr>
    <w:tblStylePr w:type="lastRow">
      <w:rPr>
        <w:b/>
        <w:color w:val="404040"/>
      </w:rPr>
      <w:tcPr>
        <w:tcBorders>
          <w:top w:val="single" w:color="F4B184" w:themeColor="accent2" w:themeTint="97"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styleId="GridTable2-Accent3" w:customStyle="1">
    <w:name w:val="Grid Table 2 - Accent 3"/>
    <w:basedOn w:val="a1"/>
    <w:uiPriority w:val="99"/>
    <w:pPr>
      <w:spacing w:after="0" w:line="240" w:lineRule="auto"/>
    </w:pPr>
    <w:tblPr>
      <w:tblStyleRowBandSize w:val="1"/>
      <w:tblStyleColBandSize w:val="1"/>
      <w:tblInd w:w="0" w:type="dxa"/>
      <w:tblBorders>
        <w:bottom w:val="single" w:color="A5A5A5" w:themeColor="accent3" w:themeTint="FE" w:sz="4" w:space="0"/>
        <w:insideH w:val="single" w:color="A5A5A5" w:themeColor="accent3" w:themeTint="FE" w:sz="4" w:space="0"/>
        <w:insideV w:val="single" w:color="A5A5A5" w:themeColor="accent3" w:themeTint="FE"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A5A5A5" w:themeColor="accent3" w:themeTint="FE" w:sz="12" w:space="0"/>
          <w:right w:val="none" w:color="000000" w:sz="4" w:space="0"/>
        </w:tcBorders>
        <w:shd w:val="clear" w:color="ffffff" w:fill="auto"/>
      </w:tcPr>
    </w:tblStylePr>
    <w:tblStylePr w:type="lastRow">
      <w:rPr>
        <w:b/>
        <w:color w:val="404040"/>
      </w:rPr>
      <w:tcPr>
        <w:tcBorders>
          <w:top w:val="single" w:color="A5A5A5" w:themeColor="accent3" w:themeTint="FE"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styleId="GridTable2-Accent4" w:customStyle="1">
    <w:name w:val="Grid Table 2 - Accent 4"/>
    <w:basedOn w:val="a1"/>
    <w:uiPriority w:val="99"/>
    <w:pPr>
      <w:spacing w:after="0" w:line="240" w:lineRule="auto"/>
    </w:pPr>
    <w:tblPr>
      <w:tblStyleRowBandSize w:val="1"/>
      <w:tblStyleColBandSize w:val="1"/>
      <w:tblInd w:w="0" w:type="dxa"/>
      <w:tblBorders>
        <w:bottom w:val="single" w:color="FFD865" w:themeColor="accent4" w:themeTint="9A" w:sz="4" w:space="0"/>
        <w:insideH w:val="single" w:color="FFD865" w:themeColor="accent4" w:themeTint="9A" w:sz="4" w:space="0"/>
        <w:insideV w:val="single" w:color="FFD865" w:themeColor="accent4" w:themeTint="9A"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FFD865" w:themeColor="accent4" w:themeTint="9A" w:sz="12" w:space="0"/>
          <w:right w:val="none" w:color="000000" w:sz="4" w:space="0"/>
        </w:tcBorders>
        <w:shd w:val="clear" w:color="ffffff" w:fill="auto"/>
      </w:tcPr>
    </w:tblStylePr>
    <w:tblStylePr w:type="lastRow">
      <w:rPr>
        <w:b/>
        <w:color w:val="404040"/>
      </w:rPr>
      <w:tcPr>
        <w:tcBorders>
          <w:top w:val="single" w:color="FFD865" w:themeColor="accent4" w:themeTint="9A"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2cb" w:themeColor="accent4" w:themeTint="34" w:fill="fff2cb" w:themeFill="accent4" w:themeFillTint="34"/>
      </w:tcPr>
    </w:tblStylePr>
    <w:tblStylePr w:type="band1Horz">
      <w:rPr>
        <w:rFonts w:ascii="Arial" w:hAnsi="Arial"/>
        <w:color w:val="404040"/>
        <w:sz w:val="22"/>
      </w:rPr>
      <w:tcPr>
        <w:shd w:val="clear" w:color="fff2cb" w:themeColor="accent4" w:themeTint="34" w:fill="fff2cb" w:themeFill="accent4" w:themeFillTint="34"/>
      </w:tcPr>
    </w:tblStylePr>
  </w:style>
  <w:style w:type="table" w:styleId="GridTable2-Accent5" w:customStyle="1">
    <w:name w:val="Grid Table 2 - Accent 5"/>
    <w:basedOn w:val="a1"/>
    <w:uiPriority w:val="99"/>
    <w:pPr>
      <w:spacing w:after="0" w:line="240" w:lineRule="auto"/>
    </w:pPr>
    <w:tblPr>
      <w:tblStyleRowBandSize w:val="1"/>
      <w:tblStyleColBandSize w:val="1"/>
      <w:tblInd w:w="0" w:type="dxa"/>
      <w:tblBorders>
        <w:bottom w:val="single" w:color="5B9BD5" w:themeColor="accent5" w:sz="4" w:space="0"/>
        <w:insideH w:val="single" w:color="5B9BD5" w:themeColor="accent5" w:sz="4" w:space="0"/>
        <w:insideV w:val="single" w:color="5B9BD5" w:themeColor="accent5"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5B9BD5" w:themeColor="accent5" w:sz="12" w:space="0"/>
          <w:right w:val="none" w:color="000000" w:sz="4" w:space="0"/>
        </w:tcBorders>
        <w:shd w:val="clear" w:color="ffffff" w:fill="auto"/>
      </w:tcPr>
    </w:tblStylePr>
    <w:tblStylePr w:type="lastRow">
      <w:rPr>
        <w:b/>
        <w:color w:val="404040"/>
      </w:rPr>
      <w:tcPr>
        <w:tcBorders>
          <w:top w:val="single" w:color="5B9BD5" w:themeColor="accent5"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deaf6" w:themeColor="accent5" w:themeTint="34" w:fill="ddeaf6" w:themeFill="accent5" w:themeFillTint="34"/>
      </w:tcPr>
    </w:tblStylePr>
    <w:tblStylePr w:type="band1Horz">
      <w:rPr>
        <w:rFonts w:ascii="Arial" w:hAnsi="Arial"/>
        <w:color w:val="404040"/>
        <w:sz w:val="22"/>
      </w:rPr>
      <w:tcPr>
        <w:shd w:val="clear" w:color="ddeaf6" w:themeColor="accent5" w:themeTint="34" w:fill="ddeaf6" w:themeFill="accent5" w:themeFillTint="34"/>
      </w:tcPr>
    </w:tblStylePr>
  </w:style>
  <w:style w:type="table" w:styleId="GridTable2-Accent6" w:customStyle="1">
    <w:name w:val="Grid Table 2 - Accent 6"/>
    <w:basedOn w:val="a1"/>
    <w:uiPriority w:val="99"/>
    <w:pPr>
      <w:spacing w:after="0" w:line="240" w:lineRule="auto"/>
    </w:pPr>
    <w:tblPr>
      <w:tblStyleRowBandSize w:val="1"/>
      <w:tblStyleColBandSize w:val="1"/>
      <w:tblInd w:w="0" w:type="dxa"/>
      <w:tblBorders>
        <w:bottom w:val="single" w:color="70AD47" w:themeColor="accent6" w:sz="4" w:space="0"/>
        <w:insideH w:val="single" w:color="70AD47" w:themeColor="accent6" w:sz="4" w:space="0"/>
        <w:insideV w:val="single" w:color="70AD47" w:themeColor="accent6"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70AD47" w:themeColor="accent6" w:sz="12" w:space="0"/>
          <w:right w:val="none" w:color="000000" w:sz="4" w:space="0"/>
        </w:tcBorders>
        <w:shd w:val="clear" w:color="ffffff" w:fill="auto"/>
      </w:tc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styleId="GridTable3" w:customStyle="1">
    <w:name w:val="Grid Table 3"/>
    <w:basedOn w:val="a1"/>
    <w:uiPriority w:val="99"/>
    <w:pPr>
      <w:spacing w:after="0" w:line="240" w:lineRule="auto"/>
    </w:pPr>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cbcbcb" w:themeColor="text1" w:themeTint="34" w:fill="cbcbcb" w:themeFill="text1" w:themeFillTint="34"/>
      </w:tcPr>
    </w:tblStylePr>
    <w:tblStylePr w:type="band1Horz">
      <w:rPr>
        <w:rFonts w:ascii="Arial" w:hAnsi="Arial"/>
        <w:color w:val="404040"/>
        <w:sz w:val="22"/>
      </w:rPr>
      <w:tcPr>
        <w:shd w:val="clear" w:color="cbcbcb" w:themeColor="text1" w:themeTint="34" w:fill="cbcbcb" w:themeFill="text1" w:themeFillTint="34"/>
      </w:tcPr>
    </w:tblStylePr>
  </w:style>
  <w:style w:type="table" w:styleId="GridTable3-Accent1" w:customStyle="1">
    <w:name w:val="Grid Table 3 - Accent 1"/>
    <w:basedOn w:val="a1"/>
    <w:uiPriority w:val="99"/>
    <w:pPr>
      <w:spacing w:after="0" w:line="240" w:lineRule="auto"/>
    </w:pPr>
    <w:tblPr>
      <w:tblStyleRowBandSize w:val="1"/>
      <w:tblStyleColBandSize w:val="1"/>
      <w:tblInd w:w="0" w:type="dxa"/>
      <w:tblBorders>
        <w:bottom w:val="single" w:color="537DC8" w:themeColor="accent1" w:themeTint="EA" w:sz="4" w:space="0"/>
        <w:insideH w:val="single" w:color="537DC8" w:themeColor="accent1" w:themeTint="EA" w:sz="4" w:space="0"/>
        <w:insideV w:val="single" w:color="537DC8" w:themeColor="accent1" w:themeTint="EA"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d8e2f3" w:themeColor="accent1" w:themeTint="34" w:fill="d8e2f3" w:themeFill="accent1" w:themeFillTint="34"/>
      </w:tcPr>
    </w:tblStylePr>
    <w:tblStylePr w:type="band1Horz">
      <w:rPr>
        <w:rFonts w:ascii="Arial" w:hAnsi="Arial"/>
        <w:color w:val="404040"/>
        <w:sz w:val="22"/>
      </w:rPr>
      <w:tcPr>
        <w:shd w:val="clear" w:color="d8e2f3" w:themeColor="accent1" w:themeTint="34" w:fill="d8e2f3" w:themeFill="accent1" w:themeFillTint="34"/>
      </w:tcPr>
    </w:tblStylePr>
  </w:style>
  <w:style w:type="table" w:styleId="GridTable3-Accent2" w:customStyle="1">
    <w:name w:val="Grid Table 3 - Accent 2"/>
    <w:basedOn w:val="a1"/>
    <w:uiPriority w:val="99"/>
    <w:pPr>
      <w:spacing w:after="0" w:line="240" w:lineRule="auto"/>
    </w:pPr>
    <w:tblPr>
      <w:tblStyleRowBandSize w:val="1"/>
      <w:tblStyleColBandSize w:val="1"/>
      <w:tblInd w:w="0" w:type="dxa"/>
      <w:tblBorders>
        <w:bottom w:val="single" w:color="F4B184" w:themeColor="accent2" w:themeTint="97" w:sz="4" w:space="0"/>
        <w:insideH w:val="single" w:color="F4B184" w:themeColor="accent2" w:themeTint="97" w:sz="4" w:space="0"/>
        <w:insideV w:val="single" w:color="F4B184" w:themeColor="accent2" w:themeTint="97"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styleId="GridTable3-Accent3" w:customStyle="1">
    <w:name w:val="Grid Table 3 - Accent 3"/>
    <w:basedOn w:val="a1"/>
    <w:uiPriority w:val="99"/>
    <w:pPr>
      <w:spacing w:after="0" w:line="240" w:lineRule="auto"/>
    </w:pPr>
    <w:tblPr>
      <w:tblStyleRowBandSize w:val="1"/>
      <w:tblStyleColBandSize w:val="1"/>
      <w:tblInd w:w="0" w:type="dxa"/>
      <w:tblBorders>
        <w:bottom w:val="single" w:color="A5A5A5" w:themeColor="accent3" w:themeTint="FE" w:sz="4" w:space="0"/>
        <w:insideH w:val="single" w:color="A5A5A5" w:themeColor="accent3" w:themeTint="FE" w:sz="4" w:space="0"/>
        <w:insideV w:val="single" w:color="A5A5A5" w:themeColor="accent3" w:themeTint="FE"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styleId="GridTable3-Accent4" w:customStyle="1">
    <w:name w:val="Grid Table 3 - Accent 4"/>
    <w:basedOn w:val="a1"/>
    <w:uiPriority w:val="99"/>
    <w:pPr>
      <w:spacing w:after="0" w:line="240" w:lineRule="auto"/>
    </w:pPr>
    <w:tblPr>
      <w:tblStyleRowBandSize w:val="1"/>
      <w:tblStyleColBandSize w:val="1"/>
      <w:tblInd w:w="0" w:type="dxa"/>
      <w:tblBorders>
        <w:bottom w:val="single" w:color="FFD865" w:themeColor="accent4" w:themeTint="9A" w:sz="4" w:space="0"/>
        <w:insideH w:val="single" w:color="FFD865" w:themeColor="accent4" w:themeTint="9A" w:sz="4" w:space="0"/>
        <w:insideV w:val="single" w:color="FFD865" w:themeColor="accent4" w:themeTint="9A"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fff2cb" w:themeColor="accent4" w:themeTint="34" w:fill="fff2cb" w:themeFill="accent4" w:themeFillTint="34"/>
      </w:tcPr>
    </w:tblStylePr>
    <w:tblStylePr w:type="band1Horz">
      <w:rPr>
        <w:rFonts w:ascii="Arial" w:hAnsi="Arial"/>
        <w:color w:val="404040"/>
        <w:sz w:val="22"/>
      </w:rPr>
      <w:tcPr>
        <w:shd w:val="clear" w:color="fff2cb" w:themeColor="accent4" w:themeTint="34" w:fill="fff2cb" w:themeFill="accent4" w:themeFillTint="34"/>
      </w:tcPr>
    </w:tblStylePr>
  </w:style>
  <w:style w:type="table" w:styleId="GridTable3-Accent5" w:customStyle="1">
    <w:name w:val="Grid Table 3 - Accent 5"/>
    <w:basedOn w:val="a1"/>
    <w:uiPriority w:val="99"/>
    <w:pPr>
      <w:spacing w:after="0" w:line="240" w:lineRule="auto"/>
    </w:pPr>
    <w:tblPr>
      <w:tblStyleRowBandSize w:val="1"/>
      <w:tblStyleColBandSize w:val="1"/>
      <w:tblInd w:w="0" w:type="dxa"/>
      <w:tblBorders>
        <w:bottom w:val="single" w:color="5B9BD5" w:themeColor="accent5" w:sz="4" w:space="0"/>
        <w:insideH w:val="single" w:color="5B9BD5" w:themeColor="accent5" w:sz="4" w:space="0"/>
        <w:insideV w:val="single" w:color="5B9BD5" w:themeColor="accent5"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ddeaf6" w:themeColor="accent5" w:themeTint="34" w:fill="ddeaf6" w:themeFill="accent5" w:themeFillTint="34"/>
      </w:tcPr>
    </w:tblStylePr>
    <w:tblStylePr w:type="band1Horz">
      <w:rPr>
        <w:rFonts w:ascii="Arial" w:hAnsi="Arial"/>
        <w:color w:val="404040"/>
        <w:sz w:val="22"/>
      </w:rPr>
      <w:tcPr>
        <w:shd w:val="clear" w:color="ddeaf6" w:themeColor="accent5" w:themeTint="34" w:fill="ddeaf6" w:themeFill="accent5" w:themeFillTint="34"/>
      </w:tcPr>
    </w:tblStylePr>
  </w:style>
  <w:style w:type="table" w:styleId="GridTable3-Accent6" w:customStyle="1">
    <w:name w:val="Grid Table 3 - Accent 6"/>
    <w:basedOn w:val="a1"/>
    <w:uiPriority w:val="99"/>
    <w:pPr>
      <w:spacing w:after="0" w:line="240" w:lineRule="auto"/>
    </w:pPr>
    <w:tblPr>
      <w:tblStyleRowBandSize w:val="1"/>
      <w:tblStyleColBandSize w:val="1"/>
      <w:tblInd w:w="0" w:type="dxa"/>
      <w:tblBorders>
        <w:bottom w:val="single" w:color="70AD47" w:themeColor="accent6" w:sz="4" w:space="0"/>
        <w:insideH w:val="single" w:color="70AD47" w:themeColor="accent6" w:sz="4" w:space="0"/>
        <w:insideV w:val="single" w:color="70AD47" w:themeColor="accent6" w:sz="4" w:space="0"/>
      </w:tblBorders>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styleId="GridTable4" w:customStyle="1">
    <w:name w:val="Grid Table 4"/>
    <w:basedOn w:val="a1"/>
    <w:uiPriority w:val="59"/>
    <w:pPr>
      <w:spacing w:after="0" w:line="240" w:lineRule="auto"/>
    </w:pPr>
    <w:tblPr>
      <w:tblStyleRowBandSize w:val="1"/>
      <w:tblStyleColBandSize w:val="1"/>
      <w:tblInd w:w="0" w:type="dxa"/>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108" w:type="dxa"/>
        <w:top w:w="0" w:type="dxa"/>
        <w:right w:w="108" w:type="dxa"/>
        <w:bottom w:w="0" w:type="dxa"/>
      </w:tblCellMar>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bcbcb" w:themeColor="text1" w:themeTint="34" w:fill="cbcbcb" w:themeFill="text1" w:themeFillTint="34"/>
      </w:tcPr>
    </w:tblStylePr>
    <w:tblStylePr w:type="band1Horz">
      <w:rPr>
        <w:rFonts w:ascii="Arial" w:hAnsi="Arial"/>
        <w:color w:val="404040"/>
        <w:sz w:val="22"/>
      </w:rPr>
      <w:tcPr>
        <w:shd w:val="clear" w:color="cbcbcb" w:themeColor="text1" w:themeTint="34" w:fill="cbcbcb" w:themeFill="text1" w:themeFillTint="34"/>
      </w:tcPr>
    </w:tblStylePr>
  </w:style>
  <w:style w:type="table" w:styleId="GridTable4-Accent1" w:customStyle="1">
    <w:name w:val="Grid Table 4 - Accent 1"/>
    <w:basedOn w:val="a1"/>
    <w:uiPriority w:val="59"/>
    <w:pPr>
      <w:spacing w:after="0" w:line="240" w:lineRule="auto"/>
    </w:pPr>
    <w:tblPr>
      <w:tblStyleRowBandSize w:val="1"/>
      <w:tblStyleColBandSize w:val="1"/>
      <w:tblInd w:w="0" w:type="dxa"/>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CellMar>
        <w:left w:w="108" w:type="dxa"/>
        <w:top w:w="0" w:type="dxa"/>
        <w:right w:w="108" w:type="dxa"/>
        <w:bottom w:w="0" w:type="dxa"/>
      </w:tblCellMar>
    </w:tblPr>
    <w:tblStylePr w:type="firstRow">
      <w:rPr>
        <w:rFonts w:ascii="Arial" w:hAnsi="Arial"/>
        <w:b/>
        <w:color w:val="ffffff"/>
        <w:sz w:val="22"/>
      </w:rPr>
      <w:tcPr>
        <w:tcBorders>
          <w:top w:val="single" w:color="537DC8" w:themeColor="accent1" w:themeTint="EA" w:sz="4" w:space="0"/>
          <w:left w:val="single" w:color="537DC8" w:themeColor="accent1" w:themeTint="EA" w:sz="4" w:space="0"/>
          <w:bottom w:val="single" w:color="537DC8" w:themeColor="accent1" w:themeTint="EA" w:sz="4" w:space="0"/>
          <w:right w:val="single" w:color="537DC8" w:themeColor="accent1" w:themeTint="EA" w:sz="4" w:space="0"/>
        </w:tcBorders>
        <w:shd w:val="clear" w:color="537dc8" w:themeColor="accent1" w:themeTint="EA" w:fill="537dc8" w:themeFill="accent1" w:themeFillTint="EA"/>
      </w:tcPr>
    </w:tblStylePr>
    <w:tblStylePr w:type="lastRow">
      <w:rPr>
        <w:b/>
        <w:color w:val="404040"/>
      </w:rPr>
      <w:tcPr>
        <w:tcBorders>
          <w:top w:val="single" w:color="537DC8"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3f3" w:themeColor="accent1" w:themeTint="32" w:fill="dae3f3" w:themeFill="accent1" w:themeFillTint="32"/>
      </w:tcPr>
    </w:tblStylePr>
    <w:tblStylePr w:type="band1Horz">
      <w:rPr>
        <w:rFonts w:ascii="Arial" w:hAnsi="Arial"/>
        <w:color w:val="404040"/>
        <w:sz w:val="22"/>
      </w:rPr>
      <w:tcPr>
        <w:shd w:val="clear" w:color="dae3f3" w:themeColor="accent1" w:themeTint="32" w:fill="dae3f3" w:themeFill="accent1" w:themeFillTint="32"/>
      </w:tcPr>
    </w:tblStylePr>
  </w:style>
  <w:style w:type="table" w:styleId="GridTable4-Accent2" w:customStyle="1">
    <w:name w:val="Grid Table 4 - Accent 2"/>
    <w:basedOn w:val="a1"/>
    <w:uiPriority w:val="59"/>
    <w:pPr>
      <w:spacing w:after="0" w:line="240" w:lineRule="auto"/>
    </w:pPr>
    <w:tblPr>
      <w:tblStyleRowBandSize w:val="1"/>
      <w:tblStyleColBandSize w:val="1"/>
      <w:tblInd w:w="0" w:type="dxa"/>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CellMar>
        <w:left w:w="108" w:type="dxa"/>
        <w:top w:w="0" w:type="dxa"/>
        <w:right w:w="108" w:type="dxa"/>
        <w:bottom w:w="0" w:type="dxa"/>
      </w:tblCellMar>
    </w:tblPr>
    <w:tblStylePr w:type="firstRow">
      <w:rPr>
        <w:rFonts w:ascii="Arial" w:hAnsi="Arial"/>
        <w:b/>
        <w:color w:val="ffffff"/>
        <w:sz w:val="22"/>
      </w:rPr>
      <w:tcPr>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shd w:val="clear" w:color="f4b184" w:themeColor="accent2" w:themeTint="97" w:fill="f4b184" w:themeFill="accent2" w:themeFillTint="97"/>
      </w:tcPr>
    </w:tblStylePr>
    <w:tblStylePr w:type="lastRow">
      <w:rPr>
        <w:b/>
        <w:color w:val="404040"/>
      </w:rPr>
      <w:tcPr>
        <w:tcBorders>
          <w:top w:val="single" w:color="F4B184"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styleId="GridTable4-Accent3" w:customStyle="1">
    <w:name w:val="Grid Table 4 - Accent 3"/>
    <w:basedOn w:val="a1"/>
    <w:uiPriority w:val="59"/>
    <w:pPr>
      <w:spacing w:after="0" w:line="240" w:lineRule="auto"/>
    </w:pPr>
    <w:tblPr>
      <w:tblStyleRowBandSize w:val="1"/>
      <w:tblStyleColBandSize w:val="1"/>
      <w:tblInd w:w="0" w:type="dxa"/>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CellMar>
        <w:left w:w="108" w:type="dxa"/>
        <w:top w:w="0" w:type="dxa"/>
        <w:right w:w="108" w:type="dxa"/>
        <w:bottom w:w="0" w:type="dxa"/>
      </w:tblCellMar>
    </w:tblPr>
    <w:tblStylePr w:type="firstRow">
      <w:rPr>
        <w:rFonts w:ascii="Arial" w:hAnsi="Arial"/>
        <w:b/>
        <w:color w:val="ffffff"/>
        <w:sz w:val="22"/>
      </w:r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a5a5a5" w:themeColor="accent3" w:themeTint="FE" w:fill="a5a5a5" w:themeFill="accent3" w:themeFillTint="FE"/>
      </w:tcPr>
    </w:tblStylePr>
    <w:tblStylePr w:type="lastRow">
      <w:rPr>
        <w:b/>
        <w:color w:val="404040"/>
      </w:rPr>
      <w:tcPr>
        <w:tcBorders>
          <w:top w:val="single" w:color="A5A5A5"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styleId="GridTable4-Accent4" w:customStyle="1">
    <w:name w:val="Grid Table 4 - Accent 4"/>
    <w:basedOn w:val="a1"/>
    <w:uiPriority w:val="59"/>
    <w:pPr>
      <w:spacing w:after="0" w:line="240" w:lineRule="auto"/>
    </w:pPr>
    <w:tblPr>
      <w:tblStyleRowBandSize w:val="1"/>
      <w:tblStyleColBandSize w:val="1"/>
      <w:tblInd w:w="0" w:type="dxa"/>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CellMar>
        <w:left w:w="108" w:type="dxa"/>
        <w:top w:w="0" w:type="dxa"/>
        <w:right w:w="108" w:type="dxa"/>
        <w:bottom w:w="0" w:type="dxa"/>
      </w:tblCellMar>
    </w:tblPr>
    <w:tblStylePr w:type="firstRow">
      <w:rPr>
        <w:rFonts w:ascii="Arial" w:hAnsi="Arial"/>
        <w:b/>
        <w:color w:val="ffffff"/>
        <w:sz w:val="22"/>
      </w:rPr>
      <w:tcPr>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shd w:val="clear" w:color="ffd865" w:themeColor="accent4" w:themeTint="9A" w:fill="ffd865" w:themeFill="accent4" w:themeFillTint="9A"/>
      </w:tcPr>
    </w:tblStylePr>
    <w:tblStylePr w:type="lastRow">
      <w:rPr>
        <w:b/>
        <w:color w:val="404040"/>
      </w:rPr>
      <w:tcPr>
        <w:tcBorders>
          <w:top w:val="single" w:color="FFD865"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2cb" w:themeColor="accent4" w:themeTint="34" w:fill="fff2cb" w:themeFill="accent4" w:themeFillTint="34"/>
      </w:tcPr>
    </w:tblStylePr>
    <w:tblStylePr w:type="band1Horz">
      <w:rPr>
        <w:rFonts w:ascii="Arial" w:hAnsi="Arial"/>
        <w:color w:val="404040"/>
        <w:sz w:val="22"/>
      </w:rPr>
      <w:tcPr>
        <w:shd w:val="clear" w:color="fff2cb" w:themeColor="accent4" w:themeTint="34" w:fill="fff2cb" w:themeFill="accent4" w:themeFillTint="34"/>
      </w:tcPr>
    </w:tblStylePr>
  </w:style>
  <w:style w:type="table" w:styleId="GridTable4-Accent5" w:customStyle="1">
    <w:name w:val="Grid Table 4 - Accent 5"/>
    <w:basedOn w:val="a1"/>
    <w:uiPriority w:val="59"/>
    <w:pPr>
      <w:spacing w:after="0" w:line="240" w:lineRule="auto"/>
    </w:pPr>
    <w:tblPr>
      <w:tblStyleRowBandSize w:val="1"/>
      <w:tblStyleColBandSize w:val="1"/>
      <w:tblInd w:w="0" w:type="dxa"/>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CellMar>
        <w:left w:w="108" w:type="dxa"/>
        <w:top w:w="0" w:type="dxa"/>
        <w:right w:w="108" w:type="dxa"/>
        <w:bottom w:w="0" w:type="dxa"/>
      </w:tblCellMar>
    </w:tblPr>
    <w:tblStylePr w:type="firstRow">
      <w:rPr>
        <w:rFonts w:ascii="Arial" w:hAnsi="Arial"/>
        <w:b/>
        <w:color w:val="ffffff"/>
        <w:sz w:val="22"/>
      </w:r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shd w:val="clear" w:color="5b9bd5" w:themeColor="accent5" w:fill="5b9bd5" w:themeFill="accent5"/>
      </w:tcPr>
    </w:tblStylePr>
    <w:tblStylePr w:type="lastRow">
      <w:rPr>
        <w:b/>
        <w:color w:val="404040"/>
      </w:rPr>
      <w:tcPr>
        <w:tcBorders>
          <w:top w:val="single" w:color="5B9BD5"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deaf6" w:themeColor="accent5" w:themeTint="34" w:fill="ddeaf6" w:themeFill="accent5" w:themeFillTint="34"/>
      </w:tcPr>
    </w:tblStylePr>
    <w:tblStylePr w:type="band1Horz">
      <w:rPr>
        <w:rFonts w:ascii="Arial" w:hAnsi="Arial"/>
        <w:color w:val="404040"/>
        <w:sz w:val="22"/>
      </w:rPr>
      <w:tcPr>
        <w:shd w:val="clear" w:color="ddeaf6" w:themeColor="accent5" w:themeTint="34" w:fill="ddeaf6" w:themeFill="accent5" w:themeFillTint="34"/>
      </w:tcPr>
    </w:tblStylePr>
  </w:style>
  <w:style w:type="table" w:styleId="GridTable4-Accent6" w:customStyle="1">
    <w:name w:val="Grid Table 4 - Accent 6"/>
    <w:basedOn w:val="a1"/>
    <w:uiPriority w:val="59"/>
    <w:pPr>
      <w:spacing w:after="0" w:line="240" w:lineRule="auto"/>
    </w:pPr>
    <w:tblPr>
      <w:tblStyleRowBandSize w:val="1"/>
      <w:tblStyleColBandSize w:val="1"/>
      <w:tblInd w:w="0" w:type="dxa"/>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left w:w="108" w:type="dxa"/>
        <w:top w:w="0" w:type="dxa"/>
        <w:right w:w="108" w:type="dxa"/>
        <w:bottom w:w="0" w:type="dxa"/>
      </w:tblCellMar>
    </w:tblPr>
    <w:tblStylePr w:type="firstRow">
      <w:rPr>
        <w:rFonts w:ascii="Arial" w:hAnsi="Arial"/>
        <w:b/>
        <w:color w:val="ffffff"/>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themeColor="accent6" w:fill="70ad47" w:themeFill="accent6"/>
      </w:tcPr>
    </w:tblStylePr>
    <w:tblStylePr w:type="lastRow">
      <w:rPr>
        <w:b/>
        <w:color w:val="404040"/>
      </w:r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styleId="GridTable5Dark" w:customStyle="1">
    <w:name w:val="Grid Table 5 Dark"/>
    <w:basedOn w:val="a1"/>
    <w:uiPriority w:val="99"/>
    <w:pPr>
      <w:spacing w:after="0" w:line="240" w:lineRule="auto"/>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CellMar>
        <w:left w:w="108" w:type="dxa"/>
        <w:top w:w="0" w:type="dxa"/>
        <w:right w:w="108" w:type="dxa"/>
        <w:bottom w:w="0" w:type="dxa"/>
      </w:tblCellMar>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a8a8a" w:themeColor="text1" w:themeTint="75" w:fill="8a8a8a" w:themeFill="text1" w:themeFillTint="75"/>
      </w:tcPr>
    </w:tblStylePr>
    <w:tblStylePr w:type="band1Horz">
      <w:tcPr>
        <w:shd w:val="clear" w:color="8a8a8a" w:themeColor="text1" w:themeTint="75" w:fill="8a8a8a" w:themeFill="text1" w:themeFillTint="75"/>
      </w:tcPr>
    </w:tblStylePr>
  </w:style>
  <w:style w:type="table" w:styleId="GridTable5Dark-Accent1" w:customStyle="1">
    <w:name w:val="Grid Table 5 Dark- Accent 1"/>
    <w:basedOn w:val="a1"/>
    <w:uiPriority w:val="99"/>
    <w:pPr>
      <w:spacing w:after="0" w:line="240" w:lineRule="auto"/>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1" w:themeTint="34" w:fill="d8e2f3" w:themeFill="accent1" w:themeFillTint="34"/>
      <w:tblCellMar>
        <w:left w:w="108" w:type="dxa"/>
        <w:top w:w="0" w:type="dxa"/>
        <w:right w:w="108" w:type="dxa"/>
        <w:bottom w:w="0" w:type="dxa"/>
      </w:tblCellMar>
    </w:tblPr>
    <w:tblStylePr w:type="firstRow">
      <w:rPr>
        <w:rFonts w:ascii="Arial" w:hAnsi="Arial"/>
        <w:b/>
        <w:color w:val="ffffff"/>
        <w:sz w:val="22"/>
      </w:rPr>
      <w:tcPr>
        <w:shd w:val="clear" w:color="4472c4" w:themeColor="accent1" w:fill="4472c4" w:themeFill="accent1"/>
      </w:tcPr>
    </w:tblStylePr>
    <w:tblStylePr w:type="lastRow">
      <w:rPr>
        <w:rFonts w:ascii="Arial" w:hAnsi="Arial"/>
        <w:b/>
        <w:color w:val="ffffff"/>
        <w:sz w:val="22"/>
      </w:rPr>
      <w:tcPr>
        <w:tcBorders>
          <w:top w:val="single" w:color="FFFFFF" w:themeColor="light1" w:sz="4" w:space="0"/>
        </w:tcBorders>
        <w:shd w:val="clear" w:color="4472c4" w:themeColor="accent1" w:fill="4472c4" w:themeFill="accent1"/>
      </w:tcPr>
    </w:tblStylePr>
    <w:tblStylePr w:type="firstCol">
      <w:rPr>
        <w:rFonts w:ascii="Arial" w:hAnsi="Arial"/>
        <w:b/>
        <w:color w:val="ffffff"/>
        <w:sz w:val="22"/>
      </w:rPr>
      <w:tcPr>
        <w:shd w:val="clear" w:color="4472c4" w:themeColor="accent1" w:fill="4472c4" w:themeFill="accent1"/>
      </w:tcPr>
    </w:tblStylePr>
    <w:tblStylePr w:type="lastCol">
      <w:rPr>
        <w:rFonts w:ascii="Arial" w:hAnsi="Arial"/>
        <w:b/>
        <w:color w:val="ffffff"/>
        <w:sz w:val="22"/>
      </w:rPr>
      <w:tcPr>
        <w:shd w:val="clear" w:color="4472c4" w:themeColor="accent1" w:fill="4472c4" w:themeFill="accent1"/>
      </w:tcPr>
    </w:tblStylePr>
    <w:tblStylePr w:type="band1Vert">
      <w:tcPr>
        <w:shd w:val="clear" w:color="a9bee4" w:themeColor="accent1" w:themeTint="75" w:fill="a9bee4" w:themeFill="accent1" w:themeFillTint="75"/>
      </w:tcPr>
    </w:tblStylePr>
    <w:tblStylePr w:type="band1Horz">
      <w:tcPr>
        <w:shd w:val="clear" w:color="a9bee4" w:themeColor="accent1" w:themeTint="75" w:fill="a9bee4" w:themeFill="accent1" w:themeFillTint="75"/>
      </w:tcPr>
    </w:tblStylePr>
  </w:style>
  <w:style w:type="table" w:styleId="GridTable5Dark-Accent2" w:customStyle="1">
    <w:name w:val="Grid Table 5 Dark - Accent 2"/>
    <w:basedOn w:val="a1"/>
    <w:uiPriority w:val="99"/>
    <w:pPr>
      <w:spacing w:after="0" w:line="240" w:lineRule="auto"/>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CellMar>
        <w:left w:w="108" w:type="dxa"/>
        <w:top w:w="0" w:type="dxa"/>
        <w:right w:w="108" w:type="dxa"/>
        <w:bottom w:w="0" w:type="dxa"/>
      </w:tblCellMar>
    </w:tblPr>
    <w:tblStylePr w:type="firstRow">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tcBorders>
          <w:top w:val="single" w:color="FFFFFF" w:themeColor="light1" w:sz="4" w:space="0"/>
        </w:tcBorders>
        <w:shd w:val="clear" w:color="ed7d31" w:themeColor="accent2" w:fill="ed7d31" w:themeFill="accent2"/>
      </w:tcPr>
    </w:tblStylePr>
    <w:tblStylePr w:type="firstCol">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band1Vert">
      <w:tcPr>
        <w:shd w:val="clear" w:color="f6c3a0" w:themeColor="accent2" w:themeTint="75" w:fill="f6c3a0" w:themeFill="accent2" w:themeFillTint="75"/>
      </w:tcPr>
    </w:tblStylePr>
    <w:tblStylePr w:type="band1Horz">
      <w:tcPr>
        <w:shd w:val="clear" w:color="f6c3a0" w:themeColor="accent2" w:themeTint="75" w:fill="f6c3a0" w:themeFill="accent2" w:themeFillTint="75"/>
      </w:tcPr>
    </w:tblStylePr>
  </w:style>
  <w:style w:type="table" w:styleId="GridTable5Dark-Accent3" w:customStyle="1">
    <w:name w:val="Grid Table 5 Dark - Accent 3"/>
    <w:basedOn w:val="a1"/>
    <w:uiPriority w:val="99"/>
    <w:pPr>
      <w:spacing w:after="0" w:line="240" w:lineRule="auto"/>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CellMar>
        <w:left w:w="108" w:type="dxa"/>
        <w:top w:w="0" w:type="dxa"/>
        <w:right w:w="108" w:type="dxa"/>
        <w:bottom w:w="0" w:type="dxa"/>
      </w:tblCellMar>
    </w:tblPr>
    <w:tblStylePr w:type="firstRow">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tcBorders>
          <w:top w:val="single" w:color="FFFFFF" w:themeColor="light1" w:sz="4" w:space="0"/>
        </w:tcBorders>
        <w:shd w:val="clear" w:color="a5a5a5" w:themeColor="accent3" w:fill="a5a5a5" w:themeFill="accent3"/>
      </w:tcPr>
    </w:tblStylePr>
    <w:tblStylePr w:type="firstCol">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band1Vert">
      <w:tcPr>
        <w:shd w:val="clear" w:color="d5d5d5" w:themeColor="accent3" w:themeTint="75" w:fill="d5d5d5" w:themeFill="accent3" w:themeFillTint="75"/>
      </w:tcPr>
    </w:tblStylePr>
    <w:tblStylePr w:type="band1Horz">
      <w:tcPr>
        <w:shd w:val="clear" w:color="d5d5d5" w:themeColor="accent3" w:themeTint="75" w:fill="d5d5d5" w:themeFill="accent3" w:themeFillTint="75"/>
      </w:tcPr>
    </w:tblStylePr>
  </w:style>
  <w:style w:type="table" w:styleId="GridTable5Dark-Accent4" w:customStyle="1">
    <w:name w:val="Grid Table 5 Dark- Accent 4"/>
    <w:basedOn w:val="a1"/>
    <w:uiPriority w:val="99"/>
    <w:pPr>
      <w:spacing w:after="0" w:line="240" w:lineRule="auto"/>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CellMar>
        <w:left w:w="108" w:type="dxa"/>
        <w:top w:w="0" w:type="dxa"/>
        <w:right w:w="108" w:type="dxa"/>
        <w:bottom w:w="0" w:type="dxa"/>
      </w:tblCellMar>
    </w:tblPr>
    <w:tblStylePr w:type="firstRow">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tcBorders>
          <w:top w:val="single" w:color="FFFFFF" w:themeColor="light1" w:sz="4" w:space="0"/>
        </w:tcBorders>
        <w:shd w:val="clear" w:color="ffc000" w:themeColor="accent4" w:fill="ffc000" w:themeFill="accent4"/>
      </w:tcPr>
    </w:tblStylePr>
    <w:tblStylePr w:type="firstCol">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band1Vert">
      <w:tcPr>
        <w:shd w:val="clear" w:color="ffe28a" w:themeColor="accent4" w:themeTint="75" w:fill="ffe28a" w:themeFill="accent4" w:themeFillTint="75"/>
      </w:tcPr>
    </w:tblStylePr>
    <w:tblStylePr w:type="band1Horz">
      <w:tcPr>
        <w:shd w:val="clear" w:color="ffe28a" w:themeColor="accent4" w:themeTint="75" w:fill="ffe28a" w:themeFill="accent4" w:themeFillTint="75"/>
      </w:tcPr>
    </w:tblStylePr>
  </w:style>
  <w:style w:type="table" w:styleId="GridTable5Dark-Accent5" w:customStyle="1">
    <w:name w:val="Grid Table 5 Dark - Accent 5"/>
    <w:basedOn w:val="a1"/>
    <w:uiPriority w:val="99"/>
    <w:pPr>
      <w:spacing w:after="0" w:line="240" w:lineRule="auto"/>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5" w:themeTint="34" w:fill="ddeaf6" w:themeFill="accent5" w:themeFillTint="34"/>
      <w:tblCellMar>
        <w:left w:w="108" w:type="dxa"/>
        <w:top w:w="0" w:type="dxa"/>
        <w:right w:w="108" w:type="dxa"/>
        <w:bottom w:w="0" w:type="dxa"/>
      </w:tblCellMar>
    </w:tblPr>
    <w:tblStylePr w:type="firstRow">
      <w:rPr>
        <w:rFonts w:ascii="Arial" w:hAnsi="Arial"/>
        <w:b/>
        <w:color w:val="ffffff"/>
        <w:sz w:val="22"/>
      </w:rPr>
      <w:tcPr>
        <w:shd w:val="clear" w:color="5b9bd5" w:themeColor="accent5" w:fill="5b9bd5" w:themeFill="accent5"/>
      </w:tcPr>
    </w:tblStylePr>
    <w:tblStylePr w:type="lastRow">
      <w:rPr>
        <w:rFonts w:ascii="Arial" w:hAnsi="Arial"/>
        <w:b/>
        <w:color w:val="ffffff"/>
        <w:sz w:val="22"/>
      </w:rPr>
      <w:tcPr>
        <w:tcBorders>
          <w:top w:val="single" w:color="FFFFFF" w:themeColor="light1" w:sz="4" w:space="0"/>
        </w:tcBorders>
        <w:shd w:val="clear" w:color="5b9bd5" w:themeColor="accent5" w:fill="5b9bd5" w:themeFill="accent5"/>
      </w:tcPr>
    </w:tblStylePr>
    <w:tblStylePr w:type="firstCol">
      <w:rPr>
        <w:rFonts w:ascii="Arial" w:hAnsi="Arial"/>
        <w:b/>
        <w:color w:val="ffffff"/>
        <w:sz w:val="22"/>
      </w:rPr>
      <w:tcPr>
        <w:shd w:val="clear" w:color="5b9bd5" w:themeColor="accent5" w:fill="5b9bd5" w:themeFill="accent5"/>
      </w:tcPr>
    </w:tblStylePr>
    <w:tblStylePr w:type="lastCol">
      <w:rPr>
        <w:rFonts w:ascii="Arial" w:hAnsi="Arial"/>
        <w:b/>
        <w:color w:val="ffffff"/>
        <w:sz w:val="22"/>
      </w:rPr>
      <w:tcPr>
        <w:shd w:val="clear" w:color="5b9bd5" w:themeColor="accent5" w:fill="5b9bd5" w:themeFill="accent5"/>
      </w:tcPr>
    </w:tblStylePr>
    <w:tblStylePr w:type="band1Vert">
      <w:tcPr>
        <w:shd w:val="clear" w:color="b3d0eb" w:themeColor="accent5" w:themeTint="75" w:fill="b3d0eb" w:themeFill="accent5" w:themeFillTint="75"/>
      </w:tcPr>
    </w:tblStylePr>
    <w:tblStylePr w:type="band1Horz">
      <w:tcPr>
        <w:shd w:val="clear" w:color="b3d0eb" w:themeColor="accent5" w:themeTint="75" w:fill="b3d0eb" w:themeFill="accent5" w:themeFillTint="75"/>
      </w:tcPr>
    </w:tblStylePr>
  </w:style>
  <w:style w:type="table" w:styleId="GridTable5Dark-Accent6" w:customStyle="1">
    <w:name w:val="Grid Table 5 Dark - Accent 6"/>
    <w:basedOn w:val="a1"/>
    <w:uiPriority w:val="99"/>
    <w:pPr>
      <w:spacing w:after="0" w:line="240" w:lineRule="auto"/>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CellMar>
        <w:left w:w="108" w:type="dxa"/>
        <w:top w:w="0" w:type="dxa"/>
        <w:right w:w="108" w:type="dxa"/>
        <w:bottom w:w="0" w:type="dxa"/>
      </w:tblCellMar>
    </w:tblPr>
    <w:tblStylePr w:type="firstRow">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tcBorders>
          <w:top w:val="single" w:color="FFFFFF" w:themeColor="light1" w:sz="4" w:space="0"/>
        </w:tcBorders>
        <w:shd w:val="clear" w:color="70ad47" w:themeColor="accent6" w:fill="70ad47" w:themeFill="accent6"/>
      </w:tcPr>
    </w:tblStylePr>
    <w:tblStylePr w:type="firstCol">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band1Vert">
      <w:tcPr>
        <w:shd w:val="clear" w:color="bcdba8" w:themeColor="accent6" w:themeTint="75" w:fill="bcdba8" w:themeFill="accent6" w:themeFillTint="75"/>
      </w:tcPr>
    </w:tblStylePr>
    <w:tblStylePr w:type="band1Horz">
      <w:tcPr>
        <w:shd w:val="clear" w:color="bcdba8" w:themeColor="accent6" w:themeTint="75" w:fill="bcdba8" w:themeFill="accent6" w:themeFillTint="75"/>
      </w:tcPr>
    </w:tblStylePr>
  </w:style>
  <w:style w:type="table" w:styleId="GridTable6Colorful" w:customStyle="1">
    <w:name w:val="Grid Table 6 Colorful"/>
    <w:basedOn w:val="a1"/>
    <w:uiPriority w:val="99"/>
    <w:pPr>
      <w:spacing w:after="0" w:line="240" w:lineRule="auto"/>
    </w:pPr>
    <w:tblPr>
      <w:tblStyleRowBandSize w:val="1"/>
      <w:tblStyleColBandSize w:val="1"/>
      <w:tblInd w:w="0"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108" w:type="dxa"/>
        <w:top w:w="0" w:type="dxa"/>
        <w:right w:w="108" w:type="dxa"/>
        <w:bottom w:w="0" w:type="dxa"/>
      </w:tblCellMar>
    </w:tblPr>
    <w:tblStylePr w:type="firstRow">
      <w:rPr>
        <w:b/>
        <w:color w:val="7f7f7f" w:themeColor="text1" w:themeTint="80" w:themeShade="95"/>
      </w:rPr>
      <w:tcPr>
        <w:tcBorders>
          <w:bottom w:val="single" w:color="7F7F7F" w:themeColor="text1" w:themeTint="80" w:sz="12" w:space="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cPr>
        <w:shd w:val="clear" w:color="cbcbcb" w:themeColor="text1" w:themeTint="34" w:fill="cbcbcb" w:themeFill="text1" w:themeFillTint="34"/>
      </w:tcPr>
    </w:tblStyle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ridTable6Colorful-Accent1" w:customStyle="1">
    <w:name w:val="Grid Table 6 Colorful - Accent 1"/>
    <w:basedOn w:val="a1"/>
    <w:uiPriority w:val="99"/>
    <w:pPr>
      <w:spacing w:after="0" w:line="240" w:lineRule="auto"/>
    </w:pPr>
    <w:tblPr>
      <w:tblStyleRowBandSize w:val="1"/>
      <w:tblStyleColBandSize w:val="1"/>
      <w:tblInd w:w="0" w:type="dxa"/>
      <w:tblBorders>
        <w:top w:val="single" w:color="A0B7E1" w:themeColor="accent1" w:themeTint="80" w:sz="4" w:space="0"/>
        <w:left w:val="single" w:color="A0B7E1" w:themeColor="accent1" w:themeTint="80" w:sz="4" w:space="0"/>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CellMar>
        <w:left w:w="108" w:type="dxa"/>
        <w:top w:w="0" w:type="dxa"/>
        <w:right w:w="108" w:type="dxa"/>
        <w:bottom w:w="0" w:type="dxa"/>
      </w:tblCellMar>
    </w:tblPr>
    <w:tblStylePr w:type="firstRow">
      <w:rPr>
        <w:b/>
        <w:color w:val="a0b7e1" w:themeColor="accent1" w:themeTint="80" w:themeShade="95"/>
      </w:rPr>
      <w:tcPr>
        <w:tcBorders>
          <w:bottom w:val="single" w:color="A0B7E1" w:themeColor="accent1" w:themeTint="80" w:sz="12" w:space="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cPr>
        <w:shd w:val="clear" w:color="d8e2f3" w:themeColor="accent1" w:themeTint="34" w:fill="d8e2f3" w:themeFill="accent1" w:themeFillTint="34"/>
      </w:tcPr>
    </w:tblStylePr>
    <w:tblStylePr w:type="band1Horz">
      <w:rPr>
        <w:rFonts w:ascii="Arial" w:hAnsi="Arial"/>
        <w:color w:val="a0b7e1" w:themeColor="accent1" w:themeTint="80" w:themeShade="95"/>
        <w:sz w:val="22"/>
      </w:r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styleId="GridTable6Colorful-Accent2" w:customStyle="1">
    <w:name w:val="Grid Table 6 Colorful - Accent 2"/>
    <w:basedOn w:val="a1"/>
    <w:uiPriority w:val="99"/>
    <w:pPr>
      <w:spacing w:after="0" w:line="240" w:lineRule="auto"/>
    </w:pPr>
    <w:tblPr>
      <w:tblStyleRowBandSize w:val="1"/>
      <w:tblStyleColBandSize w:val="1"/>
      <w:tblInd w:w="0" w:type="dxa"/>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left w:w="108" w:type="dxa"/>
        <w:top w:w="0" w:type="dxa"/>
        <w:right w:w="108" w:type="dxa"/>
        <w:bottom w:w="0" w:type="dxa"/>
      </w:tblCellMar>
    </w:tblPr>
    <w:tblStylePr w:type="firstRow">
      <w:rPr>
        <w:b/>
        <w:color w:val="f4b184" w:themeColor="accent2" w:themeTint="97" w:themeShade="95"/>
      </w:rPr>
      <w:tcPr>
        <w:tcBorders>
          <w:bottom w:val="single" w:color="F4B184" w:themeColor="accent2" w:themeTint="97" w:sz="12" w:space="0"/>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cPr>
        <w:shd w:val="clear" w:color="fbe5d6" w:themeColor="accent2" w:themeTint="32" w:fill="fbe5d6" w:themeFill="accent2" w:themeFillTint="32"/>
      </w:tcPr>
    </w:tblStyle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customStyle="1">
    <w:name w:val="Grid Table 6 Colorful - Accent 3"/>
    <w:basedOn w:val="a1"/>
    <w:uiPriority w:val="99"/>
    <w:pPr>
      <w:spacing w:after="0" w:line="240" w:lineRule="auto"/>
    </w:pPr>
    <w:tblPr>
      <w:tblStyleRowBandSize w:val="1"/>
      <w:tblStyleColBandSize w:val="1"/>
      <w:tblInd w:w="0" w:type="dxa"/>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left w:w="108" w:type="dxa"/>
        <w:top w:w="0" w:type="dxa"/>
        <w:right w:w="108" w:type="dxa"/>
        <w:bottom w:w="0" w:type="dxa"/>
      </w:tblCellMar>
    </w:tblPr>
    <w:tblStylePr w:type="firstRow">
      <w:rPr>
        <w:b/>
        <w:color w:val="a5a5a5" w:themeColor="accent3" w:themeTint="FE" w:themeShade="95"/>
      </w:rPr>
      <w:tcPr>
        <w:tcBorders>
          <w:bottom w:val="single" w:color="A5A5A5" w:themeColor="accent3" w:themeTint="FE" w:sz="12" w:space="0"/>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cPr>
        <w:shd w:val="clear" w:color="ececec" w:themeColor="accent3" w:themeTint="34" w:fill="ececec" w:themeFill="accent3" w:themeFillTint="34"/>
      </w:tcPr>
    </w:tblStyle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customStyle="1">
    <w:name w:val="Grid Table 6 Colorful - Accent 4"/>
    <w:basedOn w:val="a1"/>
    <w:uiPriority w:val="99"/>
    <w:pPr>
      <w:spacing w:after="0" w:line="240" w:lineRule="auto"/>
    </w:pPr>
    <w:tblPr>
      <w:tblStyleRowBandSize w:val="1"/>
      <w:tblStyleColBandSize w:val="1"/>
      <w:tblInd w:w="0" w:type="dxa"/>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left w:w="108" w:type="dxa"/>
        <w:top w:w="0" w:type="dxa"/>
        <w:right w:w="108" w:type="dxa"/>
        <w:bottom w:w="0" w:type="dxa"/>
      </w:tblCellMar>
    </w:tblPr>
    <w:tblStylePr w:type="firstRow">
      <w:rPr>
        <w:b/>
        <w:color w:val="ffd865" w:themeColor="accent4" w:themeTint="9A" w:themeShade="95"/>
      </w:rPr>
      <w:tcPr>
        <w:tcBorders>
          <w:bottom w:val="single" w:color="FFD865" w:themeColor="accent4" w:themeTint="9A" w:sz="12" w:space="0"/>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cPr>
        <w:shd w:val="clear" w:color="fff2cb" w:themeColor="accent4" w:themeTint="34" w:fill="fff2cb" w:themeFill="accent4" w:themeFillTint="34"/>
      </w:tcPr>
    </w:tblStyle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customStyle="1">
    <w:name w:val="Grid Table 6 Colorful - Accent 5"/>
    <w:basedOn w:val="a1"/>
    <w:uiPriority w:val="99"/>
    <w:pPr>
      <w:spacing w:after="0" w:line="240" w:lineRule="auto"/>
    </w:pPr>
    <w:tblPr>
      <w:tblStyleRowBandSize w:val="1"/>
      <w:tblStyleColBandSize w:val="1"/>
      <w:tblInd w:w="0" w:type="dxa"/>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CellMar>
        <w:left w:w="108" w:type="dxa"/>
        <w:top w:w="0" w:type="dxa"/>
        <w:right w:w="108" w:type="dxa"/>
        <w:bottom w:w="0" w:type="dxa"/>
      </w:tblCellMar>
    </w:tblPr>
    <w:tblStylePr w:type="firstRow">
      <w:rPr>
        <w:b/>
        <w:color w:val="245a8d" w:themeColor="accent5" w:themeShade="95"/>
      </w:rPr>
      <w:tcPr>
        <w:tcBorders>
          <w:bottom w:val="single" w:color="5B9BD5" w:themeColor="accent5" w:sz="12" w:space="0"/>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cPr>
        <w:shd w:val="clear" w:color="ddeaf6" w:themeColor="accent5" w:themeTint="34" w:fill="ddeaf6" w:themeFill="accent5" w:themeFillTint="34"/>
      </w:tcPr>
    </w:tblStylePr>
    <w:tblStylePr w:type="band1Horz">
      <w:rPr>
        <w:rFonts w:ascii="Arial" w:hAnsi="Arial"/>
        <w:color w:val="245a8d" w:themeColor="accent5" w:themeShade="95"/>
        <w:sz w:val="22"/>
      </w:r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styleId="GridTable6Colorful-Accent6" w:customStyle="1">
    <w:name w:val="Grid Table 6 Colorful - Accent 6"/>
    <w:basedOn w:val="a1"/>
    <w:uiPriority w:val="99"/>
    <w:pPr>
      <w:spacing w:after="0" w:line="240" w:lineRule="auto"/>
    </w:pPr>
    <w:tblPr>
      <w:tblStyleRowBandSize w:val="1"/>
      <w:tblStyleColBandSize w:val="1"/>
      <w:tblInd w:w="0" w:type="dxa"/>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CellMar>
        <w:left w:w="108" w:type="dxa"/>
        <w:top w:w="0" w:type="dxa"/>
        <w:right w:w="108" w:type="dxa"/>
        <w:bottom w:w="0" w:type="dxa"/>
      </w:tblCellMar>
    </w:tblPr>
    <w:tblStylePr w:type="firstRow">
      <w:rPr>
        <w:b/>
        <w:color w:val="245a8d" w:themeColor="accent5" w:themeShade="95"/>
      </w:rPr>
      <w:tcPr>
        <w:tcBorders>
          <w:bottom w:val="single" w:color="70AD47" w:themeColor="accent6" w:sz="12" w:space="0"/>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cPr>
        <w:shd w:val="clear" w:color="e1efd8" w:themeColor="accent6" w:themeTint="34" w:fill="e1efd8" w:themeFill="accent6" w:themeFillTint="34"/>
      </w:tcPr>
    </w:tblStylePr>
    <w:tblStylePr w:type="band1Horz">
      <w:rPr>
        <w:rFonts w:ascii="Arial" w:hAnsi="Arial"/>
        <w:color w:val="245a8d" w:themeColor="accent5" w:themeShade="95"/>
        <w:sz w:val="22"/>
      </w:r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GridTable7Colorful" w:customStyle="1">
    <w:name w:val="Grid Table 7 Colorful"/>
    <w:basedOn w:val="a1"/>
    <w:uiPriority w:val="99"/>
    <w:pPr>
      <w:spacing w:after="0" w:line="240" w:lineRule="auto"/>
    </w:pPr>
    <w:tblPr>
      <w:tblStyleRowBandSize w:val="1"/>
      <w:tblStyleColBandSize w:val="1"/>
      <w:tblInd w:w="0" w:type="dxa"/>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108" w:type="dxa"/>
        <w:top w:w="0" w:type="dxa"/>
        <w:right w:w="108" w:type="dxa"/>
        <w:bottom w:w="0" w:type="dxa"/>
      </w:tblCellMar>
    </w:tblPr>
    <w:tblStylePr w:type="firstRow">
      <w:rPr>
        <w:rFonts w:ascii="Arial" w:hAnsi="Arial"/>
        <w:b/>
        <w:color w:val="7f7f7f" w:themeColor="text1" w:themeTint="80" w:themeShade="95"/>
        <w:sz w:val="22"/>
      </w:rPr>
      <w:tcPr>
        <w:tcBorders>
          <w:top w:val="none" w:color="000000" w:sz="4" w:space="0"/>
          <w:left w:val="none" w:color="000000" w:sz="4" w:space="0"/>
          <w:bottom w:val="single" w:color="7F7F7F" w:themeColor="text1" w:themeTint="80" w:sz="4" w:space="0"/>
          <w:right w:val="none" w:color="000000" w:sz="4" w:space="0"/>
        </w:tcBorders>
        <w:shd w:val="clear" w:color="ffffff" w:themeColor="light1" w:fill="ffffff" w:themeFill="light1"/>
      </w:tcPr>
    </w:tblStylePr>
    <w:tblStylePr w:type="lastRow">
      <w:rPr>
        <w:rFonts w:ascii="Arial" w:hAnsi="Arial"/>
        <w:b/>
        <w:color w:val="7f7f7f" w:themeColor="text1" w:themeTint="80" w:themeShade="95"/>
        <w:sz w:val="22"/>
      </w:rPr>
      <w:tcPr>
        <w:tcBorders>
          <w:top w:val="single" w:color="7F7F7F" w:themeColor="text1" w:themeTint="80"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7f7f7f" w:themeColor="text1" w:themeTint="80" w:themeShade="95"/>
        <w:sz w:val="22"/>
      </w:rPr>
      <w:pPr>
        <w:jc w:val="right"/>
      </w:pPr>
      <w:tcPr>
        <w:tcBorders>
          <w:top w:val="none" w:color="000000" w:sz="4" w:space="0"/>
          <w:left w:val="none" w:color="000000" w:sz="4" w:space="0"/>
          <w:bottom w:val="none" w:color="000000" w:sz="4" w:space="0"/>
          <w:right w:val="single" w:color="7F7F7F" w:themeColor="text1" w:themeTint="80" w:sz="4" w:space="0"/>
        </w:tcBorders>
        <w:shd w:val="clear" w:color="ffffff" w:fill="auto"/>
      </w:tcPr>
    </w:tblStylePr>
    <w:tblStylePr w:type="lastCol">
      <w:rPr>
        <w:rFonts w:ascii="Arial" w:hAnsi="Arial"/>
        <w:i/>
        <w:color w:val="7f7f7f" w:themeColor="text1" w:themeTint="80" w:themeShade="95"/>
        <w:sz w:val="22"/>
      </w:rPr>
      <w:tcPr>
        <w:tcBorders>
          <w:top w:val="none" w:color="000000" w:sz="4" w:space="0"/>
          <w:left w:val="single" w:color="7F7F7F" w:themeColor="text1" w:themeTint="80" w:sz="4" w:space="0"/>
          <w:bottom w:val="none" w:color="000000" w:sz="4" w:space="0"/>
          <w:right w:val="none" w:color="000000" w:sz="4" w:space="0"/>
        </w:tcBorders>
        <w:shd w:val="clear" w:color="ffffff" w:fill="auto"/>
      </w:tcPr>
    </w:tblStylePr>
    <w:tblStylePr w:type="band1Vert">
      <w:tcPr>
        <w:shd w:val="clear" w:color="f2f2f2" w:themeColor="text1" w:themeTint="00" w:fill="f2f2f2" w:themeFill="text1" w:themeFillTint="00"/>
      </w:tcPr>
    </w:tblStylePr>
    <w:tblStylePr w:type="band1Horz">
      <w:rPr>
        <w:rFonts w:ascii="Arial" w:hAnsi="Arial"/>
        <w:color w:val="7f7f7f" w:themeColor="text1" w:themeTint="80" w:themeShade="95"/>
        <w:sz w:val="22"/>
      </w:rPr>
      <w:tcPr>
        <w:shd w:val="clear" w:color="f2f2f2" w:themeColor="text1" w:themeTint="00" w:fill="f2f2f2" w:themeFill="text1" w:themeFillTint="00"/>
      </w:tcPr>
    </w:tblStylePr>
    <w:tblStylePr w:type="band2Horz">
      <w:rPr>
        <w:rFonts w:ascii="Arial" w:hAnsi="Arial"/>
        <w:color w:val="7f7f7f" w:themeColor="text1" w:themeTint="80" w:themeShade="95"/>
        <w:sz w:val="22"/>
      </w:rPr>
    </w:tblStylePr>
  </w:style>
  <w:style w:type="table" w:styleId="GridTable7Colorful-Accent1" w:customStyle="1">
    <w:name w:val="Grid Table 7 Colorful - Accent 1"/>
    <w:basedOn w:val="a1"/>
    <w:uiPriority w:val="99"/>
    <w:pPr>
      <w:spacing w:after="0" w:line="240" w:lineRule="auto"/>
    </w:pPr>
    <w:tblPr>
      <w:tblStyleRowBandSize w:val="1"/>
      <w:tblStyleColBandSize w:val="1"/>
      <w:tblInd w:w="0" w:type="dxa"/>
      <w:tblBorders>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CellMar>
        <w:left w:w="108" w:type="dxa"/>
        <w:top w:w="0" w:type="dxa"/>
        <w:right w:w="108" w:type="dxa"/>
        <w:bottom w:w="0" w:type="dxa"/>
      </w:tblCellMar>
    </w:tblPr>
    <w:tblStylePr w:type="firstRow">
      <w:rPr>
        <w:rFonts w:ascii="Arial" w:hAnsi="Arial"/>
        <w:b/>
        <w:color w:val="a0b7e1" w:themeColor="accent1" w:themeTint="80" w:themeShade="95"/>
        <w:sz w:val="22"/>
      </w:rPr>
      <w:tcPr>
        <w:tcBorders>
          <w:top w:val="none" w:color="000000" w:sz="4" w:space="0"/>
          <w:left w:val="none" w:color="000000" w:sz="4" w:space="0"/>
          <w:bottom w:val="single" w:color="A0B7E1" w:themeColor="accent1" w:themeTint="80" w:sz="4" w:space="0"/>
          <w:right w:val="none" w:color="000000" w:sz="4" w:space="0"/>
        </w:tcBorders>
        <w:shd w:val="clear" w:color="ffffff" w:themeColor="light1" w:fill="ffffff" w:themeFill="light1"/>
      </w:tcPr>
    </w:tblStylePr>
    <w:tblStylePr w:type="lastRow">
      <w:rPr>
        <w:rFonts w:ascii="Arial" w:hAnsi="Arial"/>
        <w:b/>
        <w:color w:val="a0b7e1" w:themeColor="accent1" w:themeTint="80" w:themeShade="95"/>
        <w:sz w:val="22"/>
      </w:rPr>
      <w:tcPr>
        <w:tcBorders>
          <w:top w:val="single" w:color="A0B7E1" w:themeColor="accent1" w:themeTint="80"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a0b7e1" w:themeColor="accent1" w:themeTint="80" w:themeShade="95"/>
        <w:sz w:val="22"/>
      </w:rPr>
      <w:pPr>
        <w:jc w:val="right"/>
      </w:pPr>
      <w:tcPr>
        <w:tcBorders>
          <w:top w:val="none" w:color="000000" w:sz="4" w:space="0"/>
          <w:left w:val="none" w:color="000000" w:sz="4" w:space="0"/>
          <w:bottom w:val="none" w:color="000000" w:sz="4" w:space="0"/>
          <w:right w:val="single" w:color="A0B7E1" w:themeColor="accent1" w:themeTint="80" w:sz="4" w:space="0"/>
        </w:tcBorders>
        <w:shd w:val="clear" w:color="ffffff" w:fill="auto"/>
      </w:tcPr>
    </w:tblStylePr>
    <w:tblStylePr w:type="lastCol">
      <w:rPr>
        <w:rFonts w:ascii="Arial" w:hAnsi="Arial"/>
        <w:i/>
        <w:color w:val="a0b7e1" w:themeColor="accent1" w:themeTint="80" w:themeShade="95"/>
        <w:sz w:val="22"/>
      </w:rPr>
      <w:tcPr>
        <w:tcBorders>
          <w:top w:val="none" w:color="000000" w:sz="4" w:space="0"/>
          <w:left w:val="single" w:color="A0B7E1" w:themeColor="accent1" w:themeTint="80" w:sz="4" w:space="0"/>
          <w:bottom w:val="none" w:color="000000" w:sz="4" w:space="0"/>
          <w:right w:val="none" w:color="000000" w:sz="4" w:space="0"/>
        </w:tcBorders>
        <w:shd w:val="clear" w:color="ffffff" w:fill="auto"/>
      </w:tcPr>
    </w:tblStylePr>
    <w:tblStylePr w:type="band1Vert">
      <w:tcPr>
        <w:shd w:val="clear" w:color="d8e2f3" w:themeColor="accent1" w:themeTint="34" w:fill="d8e2f3" w:themeFill="accent1" w:themeFillTint="34"/>
      </w:tcPr>
    </w:tblStylePr>
    <w:tblStylePr w:type="band1Horz">
      <w:rPr>
        <w:rFonts w:ascii="Arial" w:hAnsi="Arial"/>
        <w:color w:val="a0b7e1" w:themeColor="accent1" w:themeTint="80" w:themeShade="95"/>
        <w:sz w:val="22"/>
      </w:r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styleId="GridTable7Colorful-Accent2" w:customStyle="1">
    <w:name w:val="Grid Table 7 Colorful - Accent 2"/>
    <w:basedOn w:val="a1"/>
    <w:uiPriority w:val="99"/>
    <w:pPr>
      <w:spacing w:after="0" w:line="240" w:lineRule="auto"/>
    </w:pPr>
    <w:tblPr>
      <w:tblStyleRowBandSize w:val="1"/>
      <w:tblStyleColBandSize w:val="1"/>
      <w:tblInd w:w="0" w:type="dxa"/>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left w:w="108" w:type="dxa"/>
        <w:top w:w="0" w:type="dxa"/>
        <w:right w:w="108" w:type="dxa"/>
        <w:bottom w:w="0" w:type="dxa"/>
      </w:tblCellMar>
    </w:tblPr>
    <w:tblStylePr w:type="firstRow">
      <w:rPr>
        <w:rFonts w:ascii="Arial" w:hAnsi="Arial"/>
        <w:b/>
        <w:color w:val="f4b184" w:themeColor="accent2" w:themeTint="97" w:themeShade="95"/>
        <w:sz w:val="22"/>
      </w:rPr>
      <w:tcPr>
        <w:tcBorders>
          <w:top w:val="none" w:color="000000" w:sz="4" w:space="0"/>
          <w:left w:val="none" w:color="000000" w:sz="4" w:space="0"/>
          <w:bottom w:val="single" w:color="F4B184" w:themeColor="accent2" w:themeTint="97" w:sz="4" w:space="0"/>
          <w:right w:val="none" w:color="000000" w:sz="4" w:space="0"/>
        </w:tcBorders>
        <w:shd w:val="clear" w:color="ffffff" w:themeColor="light1" w:fill="ffffff" w:themeFill="light1"/>
      </w:tcPr>
    </w:tblStylePr>
    <w:tblStylePr w:type="lastRow">
      <w:rPr>
        <w:rFonts w:ascii="Arial" w:hAnsi="Arial"/>
        <w:b/>
        <w:color w:val="f4b184" w:themeColor="accent2" w:themeTint="97" w:themeShade="95"/>
        <w:sz w:val="22"/>
      </w:rPr>
      <w:tcPr>
        <w:tcBorders>
          <w:top w:val="single" w:color="F4B184" w:themeColor="accent2" w:themeTint="97"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f4b184" w:themeColor="accent2" w:themeTint="97" w:themeShade="95"/>
        <w:sz w:val="22"/>
      </w:rPr>
      <w:pPr>
        <w:jc w:val="right"/>
      </w:pPr>
      <w:tcPr>
        <w:tcBorders>
          <w:top w:val="none" w:color="000000" w:sz="4" w:space="0"/>
          <w:left w:val="none" w:color="000000" w:sz="4" w:space="0"/>
          <w:bottom w:val="none" w:color="000000" w:sz="4" w:space="0"/>
          <w:right w:val="single" w:color="F4B184" w:themeColor="accent2" w:themeTint="97" w:sz="4" w:space="0"/>
        </w:tcBorders>
        <w:shd w:val="clear" w:color="ffffff" w:fill="auto"/>
      </w:tcPr>
    </w:tblStylePr>
    <w:tblStylePr w:type="lastCol">
      <w:rPr>
        <w:rFonts w:ascii="Arial" w:hAnsi="Arial"/>
        <w:i/>
        <w:color w:val="f4b184" w:themeColor="accent2" w:themeTint="97" w:themeShade="95"/>
        <w:sz w:val="22"/>
      </w:rPr>
      <w:tcPr>
        <w:tcBorders>
          <w:top w:val="none" w:color="000000" w:sz="4" w:space="0"/>
          <w:left w:val="single" w:color="F4B184" w:themeColor="accent2" w:themeTint="97" w:sz="4" w:space="0"/>
          <w:bottom w:val="none" w:color="000000" w:sz="4" w:space="0"/>
          <w:right w:val="none" w:color="000000" w:sz="4" w:space="0"/>
        </w:tcBorders>
        <w:shd w:val="clear" w:color="ffffff" w:fill="auto"/>
      </w:tcPr>
    </w:tblStylePr>
    <w:tblStylePr w:type="band1Vert">
      <w:tcPr>
        <w:shd w:val="clear" w:color="fbe5d6" w:themeColor="accent2" w:themeTint="32" w:fill="fbe5d6" w:themeFill="accent2" w:themeFillTint="32"/>
      </w:tcPr>
    </w:tblStyle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customStyle="1">
    <w:name w:val="Grid Table 7 Colorful - Accent 3"/>
    <w:basedOn w:val="a1"/>
    <w:uiPriority w:val="99"/>
    <w:pPr>
      <w:spacing w:after="0" w:line="240" w:lineRule="auto"/>
    </w:pPr>
    <w:tblPr>
      <w:tblStyleRowBandSize w:val="1"/>
      <w:tblStyleColBandSize w:val="1"/>
      <w:tblInd w:w="0" w:type="dxa"/>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left w:w="108" w:type="dxa"/>
        <w:top w:w="0" w:type="dxa"/>
        <w:right w:w="108" w:type="dxa"/>
        <w:bottom w:w="0" w:type="dxa"/>
      </w:tblCellMar>
    </w:tblPr>
    <w:tblStylePr w:type="firstRow">
      <w:rPr>
        <w:rFonts w:ascii="Arial" w:hAnsi="Arial"/>
        <w:b/>
        <w:color w:val="a5a5a5" w:themeColor="accent3" w:themeTint="FE" w:themeShade="95"/>
        <w:sz w:val="22"/>
      </w:rPr>
      <w:tcPr>
        <w:tcBorders>
          <w:top w:val="none" w:color="000000" w:sz="4" w:space="0"/>
          <w:left w:val="none" w:color="000000" w:sz="4" w:space="0"/>
          <w:bottom w:val="single" w:color="A5A5A5" w:themeColor="accent3" w:themeTint="FE" w:sz="4" w:space="0"/>
          <w:right w:val="none" w:color="000000" w:sz="4" w:space="0"/>
        </w:tcBorders>
        <w:shd w:val="clear" w:color="ffffff" w:themeColor="light1" w:fill="ffffff" w:themeFill="light1"/>
      </w:tcPr>
    </w:tblStylePr>
    <w:tblStylePr w:type="lastRow">
      <w:rPr>
        <w:rFonts w:ascii="Arial" w:hAnsi="Arial"/>
        <w:b/>
        <w:color w:val="a5a5a5" w:themeColor="accent3" w:themeTint="FE" w:themeShade="95"/>
        <w:sz w:val="22"/>
      </w:rPr>
      <w:tcPr>
        <w:tcBorders>
          <w:top w:val="single" w:color="A5A5A5" w:themeColor="accent3" w:themeTint="FE"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a5a5a5" w:themeColor="accent3" w:themeTint="FE" w:themeShade="95"/>
        <w:sz w:val="22"/>
      </w:rPr>
      <w:pPr>
        <w:jc w:val="right"/>
      </w:pPr>
      <w:tcPr>
        <w:tcBorders>
          <w:top w:val="none" w:color="000000" w:sz="4" w:space="0"/>
          <w:left w:val="none" w:color="000000" w:sz="4" w:space="0"/>
          <w:bottom w:val="none" w:color="000000" w:sz="4" w:space="0"/>
          <w:right w:val="single" w:color="A5A5A5" w:themeColor="accent3" w:themeTint="FE" w:sz="4" w:space="0"/>
        </w:tcBorders>
        <w:shd w:val="clear" w:color="ffffff" w:fill="auto"/>
      </w:tcPr>
    </w:tblStylePr>
    <w:tblStylePr w:type="lastCol">
      <w:rPr>
        <w:rFonts w:ascii="Arial" w:hAnsi="Arial"/>
        <w:i/>
        <w:color w:val="a5a5a5" w:themeColor="accent3" w:themeTint="FE" w:themeShade="95"/>
        <w:sz w:val="22"/>
      </w:rPr>
      <w:tcPr>
        <w:tcBorders>
          <w:top w:val="none" w:color="000000" w:sz="4" w:space="0"/>
          <w:left w:val="single" w:color="A5A5A5" w:themeColor="accent3" w:themeTint="FE" w:sz="4" w:space="0"/>
          <w:bottom w:val="none" w:color="000000" w:sz="4" w:space="0"/>
          <w:right w:val="none" w:color="000000" w:sz="4" w:space="0"/>
        </w:tcBorders>
        <w:shd w:val="clear" w:color="ffffff" w:fill="auto"/>
      </w:tcPr>
    </w:tblStylePr>
    <w:tblStylePr w:type="band1Vert">
      <w:tcPr>
        <w:shd w:val="clear" w:color="ececec" w:themeColor="accent3" w:themeTint="34" w:fill="ececec" w:themeFill="accent3" w:themeFillTint="34"/>
      </w:tcPr>
    </w:tblStyle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customStyle="1">
    <w:name w:val="Grid Table 7 Colorful - Accent 4"/>
    <w:basedOn w:val="a1"/>
    <w:uiPriority w:val="99"/>
    <w:pPr>
      <w:spacing w:after="0" w:line="240" w:lineRule="auto"/>
    </w:pPr>
    <w:tblPr>
      <w:tblStyleRowBandSize w:val="1"/>
      <w:tblStyleColBandSize w:val="1"/>
      <w:tblInd w:w="0" w:type="dxa"/>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left w:w="108" w:type="dxa"/>
        <w:top w:w="0" w:type="dxa"/>
        <w:right w:w="108" w:type="dxa"/>
        <w:bottom w:w="0" w:type="dxa"/>
      </w:tblCellMar>
    </w:tblPr>
    <w:tblStylePr w:type="firstRow">
      <w:rPr>
        <w:rFonts w:ascii="Arial" w:hAnsi="Arial"/>
        <w:b/>
        <w:color w:val="ffd865" w:themeColor="accent4" w:themeTint="9A" w:themeShade="95"/>
        <w:sz w:val="22"/>
      </w:rPr>
      <w:tcPr>
        <w:tcBorders>
          <w:top w:val="none" w:color="000000" w:sz="4" w:space="0"/>
          <w:left w:val="none" w:color="000000" w:sz="4" w:space="0"/>
          <w:bottom w:val="single" w:color="FFD865" w:themeColor="accent4" w:themeTint="9A" w:sz="4" w:space="0"/>
          <w:right w:val="none" w:color="000000" w:sz="4" w:space="0"/>
        </w:tcBorders>
        <w:shd w:val="clear" w:color="ffffff" w:themeColor="light1" w:fill="ffffff" w:themeFill="light1"/>
      </w:tcPr>
    </w:tblStylePr>
    <w:tblStylePr w:type="lastRow">
      <w:rPr>
        <w:rFonts w:ascii="Arial" w:hAnsi="Arial"/>
        <w:b/>
        <w:color w:val="ffd865" w:themeColor="accent4" w:themeTint="9A" w:themeShade="95"/>
        <w:sz w:val="22"/>
      </w:rPr>
      <w:tcPr>
        <w:tcBorders>
          <w:top w:val="single" w:color="FFD865" w:themeColor="accent4" w:themeTint="9A"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ffd865" w:themeColor="accent4" w:themeTint="9A" w:themeShade="95"/>
        <w:sz w:val="22"/>
      </w:rPr>
      <w:pPr>
        <w:jc w:val="right"/>
      </w:pPr>
      <w:tcPr>
        <w:tcBorders>
          <w:top w:val="none" w:color="000000" w:sz="4" w:space="0"/>
          <w:left w:val="none" w:color="000000" w:sz="4" w:space="0"/>
          <w:bottom w:val="none" w:color="000000" w:sz="4" w:space="0"/>
          <w:right w:val="single" w:color="FFD865" w:themeColor="accent4" w:themeTint="9A" w:sz="4" w:space="0"/>
        </w:tcBorders>
        <w:shd w:val="clear" w:color="ffffff" w:fill="auto"/>
      </w:tcPr>
    </w:tblStylePr>
    <w:tblStylePr w:type="lastCol">
      <w:rPr>
        <w:rFonts w:ascii="Arial" w:hAnsi="Arial"/>
        <w:i/>
        <w:color w:val="ffd865" w:themeColor="accent4" w:themeTint="9A" w:themeShade="95"/>
        <w:sz w:val="22"/>
      </w:rPr>
      <w:tcPr>
        <w:tcBorders>
          <w:top w:val="none" w:color="000000" w:sz="4" w:space="0"/>
          <w:left w:val="single" w:color="FFD865" w:themeColor="accent4" w:themeTint="9A" w:sz="4" w:space="0"/>
          <w:bottom w:val="none" w:color="000000" w:sz="4" w:space="0"/>
          <w:right w:val="none" w:color="000000" w:sz="4" w:space="0"/>
        </w:tcBorders>
        <w:shd w:val="clear" w:color="ffffff" w:fill="auto"/>
      </w:tcPr>
    </w:tblStylePr>
    <w:tblStylePr w:type="band1Vert">
      <w:tcPr>
        <w:shd w:val="clear" w:color="fff2cb" w:themeColor="accent4" w:themeTint="34" w:fill="fff2cb" w:themeFill="accent4" w:themeFillTint="34"/>
      </w:tcPr>
    </w:tblStyle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customStyle="1">
    <w:name w:val="Grid Table 7 Colorful - Accent 5"/>
    <w:basedOn w:val="a1"/>
    <w:uiPriority w:val="99"/>
    <w:pPr>
      <w:spacing w:after="0" w:line="240" w:lineRule="auto"/>
    </w:pPr>
    <w:tblPr>
      <w:tblStyleRowBandSize w:val="1"/>
      <w:tblStyleColBandSize w:val="1"/>
      <w:tblInd w:w="0" w:type="dxa"/>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CellMar>
        <w:left w:w="108" w:type="dxa"/>
        <w:top w:w="0" w:type="dxa"/>
        <w:right w:w="108" w:type="dxa"/>
        <w:bottom w:w="0" w:type="dxa"/>
      </w:tblCellMar>
    </w:tblPr>
    <w:tblStylePr w:type="firstRow">
      <w:rPr>
        <w:rFonts w:ascii="Arial" w:hAnsi="Arial"/>
        <w:b/>
        <w:color w:val="245a8d" w:themeColor="accent5" w:themeShade="95"/>
        <w:sz w:val="22"/>
      </w:rPr>
      <w:tcPr>
        <w:tcBorders>
          <w:top w:val="none" w:color="000000" w:sz="4" w:space="0"/>
          <w:left w:val="none" w:color="000000" w:sz="4" w:space="0"/>
          <w:bottom w:val="single" w:color="A2C6E7" w:themeColor="accent5" w:themeTint="90" w:sz="4" w:space="0"/>
          <w:right w:val="none" w:color="000000" w:sz="4" w:space="0"/>
        </w:tcBorders>
        <w:shd w:val="clear" w:color="ffffff" w:themeColor="light1" w:fill="ffffff" w:themeFill="light1"/>
      </w:tcPr>
    </w:tblStylePr>
    <w:tblStylePr w:type="lastRow">
      <w:rPr>
        <w:rFonts w:ascii="Arial" w:hAnsi="Arial"/>
        <w:b/>
        <w:color w:val="245a8d" w:themeColor="accent5" w:themeShade="95"/>
        <w:sz w:val="22"/>
      </w:rPr>
      <w:tcPr>
        <w:tcBorders>
          <w:top w:val="single" w:color="A2C6E7" w:themeColor="accent5" w:themeTint="90"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245a8d" w:themeColor="accent5" w:themeShade="95"/>
        <w:sz w:val="22"/>
      </w:rPr>
      <w:pPr>
        <w:jc w:val="right"/>
      </w:pPr>
      <w:tcPr>
        <w:tcBorders>
          <w:top w:val="none" w:color="000000" w:sz="4" w:space="0"/>
          <w:left w:val="none" w:color="000000" w:sz="4" w:space="0"/>
          <w:bottom w:val="none" w:color="000000" w:sz="4" w:space="0"/>
          <w:right w:val="single" w:color="A2C6E7" w:themeColor="accent5" w:themeTint="90" w:sz="4" w:space="0"/>
        </w:tcBorders>
        <w:shd w:val="clear" w:color="ffffff" w:fill="auto"/>
      </w:tcPr>
    </w:tblStylePr>
    <w:tblStylePr w:type="lastCol">
      <w:rPr>
        <w:rFonts w:ascii="Arial" w:hAnsi="Arial"/>
        <w:i/>
        <w:color w:val="245a8d" w:themeColor="accent5" w:themeShade="95"/>
        <w:sz w:val="22"/>
      </w:rPr>
      <w:tcPr>
        <w:tcBorders>
          <w:top w:val="none" w:color="000000" w:sz="4" w:space="0"/>
          <w:left w:val="single" w:color="A2C6E7" w:themeColor="accent5" w:themeTint="90" w:sz="4" w:space="0"/>
          <w:bottom w:val="none" w:color="000000" w:sz="4" w:space="0"/>
          <w:right w:val="none" w:color="000000" w:sz="4" w:space="0"/>
        </w:tcBorders>
        <w:shd w:val="clear" w:color="ffffff" w:fill="auto"/>
      </w:tcPr>
    </w:tblStylePr>
    <w:tblStylePr w:type="band1Vert">
      <w:tcPr>
        <w:shd w:val="clear" w:color="ddeaf6" w:themeColor="accent5" w:themeTint="34" w:fill="ddeaf6" w:themeFill="accent5" w:themeFillTint="34"/>
      </w:tcPr>
    </w:tblStylePr>
    <w:tblStylePr w:type="band1Horz">
      <w:rPr>
        <w:rFonts w:ascii="Arial" w:hAnsi="Arial"/>
        <w:color w:val="245a8d" w:themeColor="accent5" w:themeShade="95"/>
        <w:sz w:val="22"/>
      </w:r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styleId="GridTable7Colorful-Accent6" w:customStyle="1">
    <w:name w:val="Grid Table 7 Colorful - Accent 6"/>
    <w:basedOn w:val="a1"/>
    <w:uiPriority w:val="99"/>
    <w:pPr>
      <w:spacing w:after="0" w:line="240" w:lineRule="auto"/>
    </w:pPr>
    <w:tblPr>
      <w:tblStyleRowBandSize w:val="1"/>
      <w:tblStyleColBandSize w:val="1"/>
      <w:tblInd w:w="0" w:type="dxa"/>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left w:w="108" w:type="dxa"/>
        <w:top w:w="0" w:type="dxa"/>
        <w:right w:w="108" w:type="dxa"/>
        <w:bottom w:w="0" w:type="dxa"/>
      </w:tblCellMar>
    </w:tblPr>
    <w:tblStylePr w:type="firstRow">
      <w:rPr>
        <w:rFonts w:ascii="Arial" w:hAnsi="Arial"/>
        <w:b/>
        <w:color w:val="416429" w:themeColor="accent6" w:themeShade="95"/>
        <w:sz w:val="22"/>
      </w:rPr>
      <w:tcPr>
        <w:tcBorders>
          <w:top w:val="none" w:color="000000" w:sz="4" w:space="0"/>
          <w:left w:val="none" w:color="000000" w:sz="4" w:space="0"/>
          <w:bottom w:val="single" w:color="ADD394" w:themeColor="accent6" w:themeTint="90" w:sz="4" w:space="0"/>
          <w:right w:val="none" w:color="000000" w:sz="4" w:space="0"/>
        </w:tcBorders>
        <w:shd w:val="clear" w:color="ffffff" w:themeColor="light1" w:fill="ffffff" w:themeFill="light1"/>
      </w:tcPr>
    </w:tblStylePr>
    <w:tblStylePr w:type="lastRow">
      <w:rPr>
        <w:rFonts w:ascii="Arial" w:hAnsi="Arial"/>
        <w:b/>
        <w:color w:val="416429" w:themeColor="accent6" w:themeShade="95"/>
        <w:sz w:val="22"/>
      </w:rPr>
      <w:tcPr>
        <w:tcBorders>
          <w:top w:val="single" w:color="ADD394" w:themeColor="accent6" w:themeTint="90"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416429" w:themeColor="accent6" w:themeShade="95"/>
        <w:sz w:val="22"/>
      </w:rPr>
      <w:pPr>
        <w:jc w:val="right"/>
      </w:pPr>
      <w:tcPr>
        <w:tcBorders>
          <w:top w:val="none" w:color="000000" w:sz="4" w:space="0"/>
          <w:left w:val="none" w:color="000000" w:sz="4" w:space="0"/>
          <w:bottom w:val="none" w:color="000000" w:sz="4" w:space="0"/>
          <w:right w:val="single" w:color="ADD394" w:themeColor="accent6" w:themeTint="90" w:sz="4" w:space="0"/>
        </w:tcBorders>
        <w:shd w:val="clear" w:color="ffffff" w:fill="auto"/>
      </w:tcPr>
    </w:tblStylePr>
    <w:tblStylePr w:type="lastCol">
      <w:rPr>
        <w:rFonts w:ascii="Arial" w:hAnsi="Arial"/>
        <w:i/>
        <w:color w:val="416429" w:themeColor="accent6" w:themeShade="95"/>
        <w:sz w:val="22"/>
      </w:rPr>
      <w:tcPr>
        <w:tcBorders>
          <w:top w:val="none" w:color="000000" w:sz="4" w:space="0"/>
          <w:left w:val="single" w:color="ADD394" w:themeColor="accent6" w:themeTint="90" w:sz="4" w:space="0"/>
          <w:bottom w:val="none" w:color="000000" w:sz="4" w:space="0"/>
          <w:right w:val="none" w:color="000000" w:sz="4" w:space="0"/>
        </w:tcBorders>
        <w:shd w:val="clear" w:color="ffffff" w:fill="auto"/>
      </w:tcPr>
    </w:tblStylePr>
    <w:tblStylePr w:type="band1Vert">
      <w:tcPr>
        <w:shd w:val="clear" w:color="e1efd8" w:themeColor="accent6" w:themeTint="34" w:fill="e1efd8" w:themeFill="accent6" w:themeFillTint="34"/>
      </w:tcPr>
    </w:tblStyle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Table1Light" w:customStyle="1">
    <w:name w:val="List Table 1 Light"/>
    <w:basedOn w:val="a1"/>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bfbfbf" w:themeColor="text1" w:themeTint="40" w:fill="bfbfbf" w:themeFill="text1" w:themeFillTint="40"/>
      </w:tcPr>
    </w:tblStylePr>
    <w:tblStylePr w:type="band1Horz">
      <w:tcPr>
        <w:shd w:val="clear" w:color="bfbfbf" w:themeColor="text1" w:themeTint="40" w:fill="bfbfbf" w:themeFill="text1" w:themeFillTint="40"/>
      </w:tcPr>
    </w:tblStylePr>
  </w:style>
  <w:style w:type="table" w:styleId="ListTable1Light-Accent1" w:customStyle="1">
    <w:name w:val="List Table 1 Light - Accent 1"/>
    <w:basedOn w:val="a1"/>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4472C4" w:themeColor="accent1" w:sz="4" w:space="0"/>
          <w:right w:val="none" w:color="000000" w:sz="4" w:space="0"/>
        </w:tcBorders>
      </w:tcPr>
    </w:tblStylePr>
    <w:tblStylePr w:type="lastRow">
      <w:rPr>
        <w:b/>
        <w:color w:val="404040"/>
      </w:rPr>
      <w:tcPr>
        <w:tcBorders>
          <w:top w:val="single" w:color="4472C4" w:themeColor="accent1"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cfdbf0" w:themeColor="accent1" w:themeTint="40" w:fill="cfdbf0" w:themeFill="accent1" w:themeFillTint="40"/>
      </w:tcPr>
    </w:tblStylePr>
    <w:tblStylePr w:type="band1Horz">
      <w:tcPr>
        <w:shd w:val="clear" w:color="cfdbf0" w:themeColor="accent1" w:themeTint="40" w:fill="cfdbf0" w:themeFill="accent1" w:themeFillTint="40"/>
      </w:tcPr>
    </w:tblStylePr>
  </w:style>
  <w:style w:type="table" w:styleId="ListTable1Light-Accent2" w:customStyle="1">
    <w:name w:val="List Table 1 Light - Accent 2"/>
    <w:basedOn w:val="a1"/>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fadecb" w:themeColor="accent2" w:themeTint="40" w:fill="fadecb" w:themeFill="accent2" w:themeFillTint="40"/>
      </w:tcPr>
    </w:tblStylePr>
    <w:tblStylePr w:type="band1Horz">
      <w:tcPr>
        <w:shd w:val="clear" w:color="fadecb" w:themeColor="accent2" w:themeTint="40" w:fill="fadecb" w:themeFill="accent2" w:themeFillTint="40"/>
      </w:tcPr>
    </w:tblStylePr>
  </w:style>
  <w:style w:type="table" w:styleId="ListTable1Light-Accent3" w:customStyle="1">
    <w:name w:val="List Table 1 Light - Accent 3"/>
    <w:basedOn w:val="a1"/>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e8e8e8" w:themeColor="accent3" w:themeTint="40" w:fill="e8e8e8" w:themeFill="accent3" w:themeFillTint="40"/>
      </w:tcPr>
    </w:tblStylePr>
    <w:tblStylePr w:type="band1Horz">
      <w:tcPr>
        <w:shd w:val="clear" w:color="e8e8e8" w:themeColor="accent3" w:themeTint="40" w:fill="e8e8e8" w:themeFill="accent3" w:themeFillTint="40"/>
      </w:tcPr>
    </w:tblStylePr>
  </w:style>
  <w:style w:type="table" w:styleId="ListTable1Light-Accent4" w:customStyle="1">
    <w:name w:val="List Table 1 Light - Accent 4"/>
    <w:basedOn w:val="a1"/>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ffefbf" w:themeColor="accent4" w:themeTint="40" w:fill="ffefbf" w:themeFill="accent4" w:themeFillTint="40"/>
      </w:tcPr>
    </w:tblStylePr>
    <w:tblStylePr w:type="band1Horz">
      <w:tcPr>
        <w:shd w:val="clear" w:color="ffefbf" w:themeColor="accent4" w:themeTint="40" w:fill="ffefbf" w:themeFill="accent4" w:themeFillTint="40"/>
      </w:tcPr>
    </w:tblStylePr>
  </w:style>
  <w:style w:type="table" w:styleId="ListTable1Light-Accent5" w:customStyle="1">
    <w:name w:val="List Table 1 Light - Accent 5"/>
    <w:basedOn w:val="a1"/>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5B9BD5" w:themeColor="accent5" w:sz="4" w:space="0"/>
          <w:right w:val="none" w:color="000000" w:sz="4" w:space="0"/>
        </w:tcBorders>
      </w:tcPr>
    </w:tblStylePr>
    <w:tblStylePr w:type="lastRow">
      <w:rPr>
        <w:b/>
        <w:color w:val="404040"/>
      </w:rPr>
      <w:tcPr>
        <w:tcBorders>
          <w:top w:val="single" w:color="5B9BD5" w:themeColor="accent5"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d5e5f4" w:themeColor="accent5" w:themeTint="40" w:fill="d5e5f4" w:themeFill="accent5" w:themeFillTint="40"/>
      </w:tcPr>
    </w:tblStylePr>
    <w:tblStylePr w:type="band1Horz">
      <w:tcPr>
        <w:shd w:val="clear" w:color="d5e5f4" w:themeColor="accent5" w:themeTint="40" w:fill="d5e5f4" w:themeFill="accent5" w:themeFillTint="40"/>
      </w:tcPr>
    </w:tblStylePr>
  </w:style>
  <w:style w:type="table" w:styleId="ListTable1Light-Accent6" w:customStyle="1">
    <w:name w:val="List Table 1 Light - Accent 6"/>
    <w:basedOn w:val="a1"/>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daebcf" w:themeColor="accent6" w:themeTint="40" w:fill="daebcf" w:themeFill="accent6" w:themeFillTint="40"/>
      </w:tcPr>
    </w:tblStylePr>
    <w:tblStylePr w:type="band1Horz">
      <w:tcPr>
        <w:shd w:val="clear" w:color="daebcf" w:themeColor="accent6" w:themeTint="40" w:fill="daebcf" w:themeFill="accent6" w:themeFillTint="40"/>
      </w:tcPr>
    </w:tblStylePr>
  </w:style>
  <w:style w:type="table" w:styleId="ListTable2" w:customStyle="1">
    <w:name w:val="List Table 2"/>
    <w:basedOn w:val="a1"/>
    <w:uiPriority w:val="99"/>
    <w:pPr>
      <w:spacing w:after="0" w:line="240" w:lineRule="auto"/>
    </w:pPr>
    <w:tblPr>
      <w:tblStyleRowBandSize w:val="1"/>
      <w:tblStyleColBandSize w:val="1"/>
      <w:tblInd w:w="0" w:type="dxa"/>
      <w:tblBorders>
        <w:top w:val="single" w:color="6F6F6F" w:themeColor="text1" w:themeTint="90" w:sz="4" w:space="0"/>
        <w:bottom w:val="single" w:color="6F6F6F" w:themeColor="text1" w:themeTint="90" w:sz="4" w:space="0"/>
        <w:insideH w:val="single" w:color="6F6F6F" w:themeColor="text1" w:themeTint="90" w:sz="4" w:space="0"/>
      </w:tblBorders>
      <w:tblCellMar>
        <w:left w:w="108" w:type="dxa"/>
        <w:top w:w="0" w:type="dxa"/>
        <w:right w:w="108" w:type="dxa"/>
        <w:bottom w:w="0" w:type="dxa"/>
      </w:tblCellMar>
    </w:tbl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fbfbf" w:themeColor="text1" w:themeTint="40" w:fill="bfbfbf" w:themeFill="text1" w:themeFillTint="40"/>
      </w:tcPr>
    </w:tblStylePr>
    <w:tblStylePr w:type="band1Horz">
      <w:rPr>
        <w:rFonts w:ascii="Arial" w:hAnsi="Arial"/>
        <w:color w:val="404040"/>
        <w:sz w:val="22"/>
      </w:rPr>
      <w:tcPr>
        <w:shd w:val="clear" w:color="bfbfbf" w:themeColor="text1" w:themeTint="40" w:fill="bfbfbf" w:themeFill="text1" w:themeFillTint="40"/>
      </w:tcPr>
    </w:tblStylePr>
  </w:style>
  <w:style w:type="table" w:styleId="ListTable2-Accent1" w:customStyle="1">
    <w:name w:val="List Table 2 - Accent 1"/>
    <w:basedOn w:val="a1"/>
    <w:uiPriority w:val="99"/>
    <w:pPr>
      <w:spacing w:after="0" w:line="240" w:lineRule="auto"/>
    </w:pPr>
    <w:tblPr>
      <w:tblStyleRowBandSize w:val="1"/>
      <w:tblStyleColBandSize w:val="1"/>
      <w:tblInd w:w="0" w:type="dxa"/>
      <w:tblBorders>
        <w:top w:val="single" w:color="95AFDD" w:themeColor="accent1" w:themeTint="90" w:sz="4" w:space="0"/>
        <w:bottom w:val="single" w:color="95AFDD" w:themeColor="accent1" w:themeTint="90" w:sz="4" w:space="0"/>
        <w:insideH w:val="single" w:color="95AFDD" w:themeColor="accent1" w:themeTint="90" w:sz="4" w:space="0"/>
      </w:tblBorders>
      <w:tblCellMar>
        <w:left w:w="108" w:type="dxa"/>
        <w:top w:w="0" w:type="dxa"/>
        <w:right w:w="108" w:type="dxa"/>
        <w:bottom w:w="0" w:type="dxa"/>
      </w:tblCellMar>
    </w:tblPr>
    <w:tblStylePr w:type="firstRow">
      <w:rPr>
        <w:rFonts w:ascii="Arial" w:hAnsi="Arial"/>
        <w:b/>
        <w:color w:val="404040"/>
        <w:sz w:val="22"/>
      </w:r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lastRow">
      <w:rPr>
        <w:rFonts w:ascii="Arial" w:hAnsi="Arial"/>
        <w:b/>
        <w:color w:val="404040"/>
        <w:sz w:val="22"/>
      </w:r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cfdbf0" w:themeColor="accent1" w:themeTint="40" w:fill="cfdbf0" w:themeFill="accent1" w:themeFillTint="40"/>
      </w:tcPr>
    </w:tblStylePr>
    <w:tblStylePr w:type="band1Horz">
      <w:rPr>
        <w:rFonts w:ascii="Arial" w:hAnsi="Arial"/>
        <w:color w:val="404040"/>
        <w:sz w:val="22"/>
      </w:rPr>
      <w:tcPr>
        <w:shd w:val="clear" w:color="cfdbf0" w:themeColor="accent1" w:themeTint="40" w:fill="cfdbf0" w:themeFill="accent1" w:themeFillTint="40"/>
      </w:tcPr>
    </w:tblStylePr>
  </w:style>
  <w:style w:type="table" w:styleId="ListTable2-Accent2" w:customStyle="1">
    <w:name w:val="List Table 2 - Accent 2"/>
    <w:basedOn w:val="a1"/>
    <w:uiPriority w:val="99"/>
    <w:pPr>
      <w:spacing w:after="0" w:line="240" w:lineRule="auto"/>
    </w:pPr>
    <w:tblPr>
      <w:tblStyleRowBandSize w:val="1"/>
      <w:tblStyleColBandSize w:val="1"/>
      <w:tblInd w:w="0" w:type="dxa"/>
      <w:tblBorders>
        <w:top w:val="single" w:color="F4B58A" w:themeColor="accent2" w:themeTint="90" w:sz="4" w:space="0"/>
        <w:bottom w:val="single" w:color="F4B58A" w:themeColor="accent2" w:themeTint="90" w:sz="4" w:space="0"/>
        <w:insideH w:val="single" w:color="F4B58A" w:themeColor="accent2" w:themeTint="90" w:sz="4" w:space="0"/>
      </w:tblBorders>
      <w:tblCellMar>
        <w:left w:w="108" w:type="dxa"/>
        <w:top w:w="0" w:type="dxa"/>
        <w:right w:w="108" w:type="dxa"/>
        <w:bottom w:w="0" w:type="dxa"/>
      </w:tblCellMar>
    </w:tbl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styleId="ListTable2-Accent3" w:customStyle="1">
    <w:name w:val="List Table 2 - Accent 3"/>
    <w:basedOn w:val="a1"/>
    <w:uiPriority w:val="99"/>
    <w:pPr>
      <w:spacing w:after="0" w:line="240" w:lineRule="auto"/>
    </w:pPr>
    <w:tblPr>
      <w:tblStyleRowBandSize w:val="1"/>
      <w:tblStyleColBandSize w:val="1"/>
      <w:tblInd w:w="0" w:type="dxa"/>
      <w:tblBorders>
        <w:top w:val="single" w:color="CCCCCC" w:themeColor="accent3" w:themeTint="90" w:sz="4" w:space="0"/>
        <w:bottom w:val="single" w:color="CCCCCC" w:themeColor="accent3" w:themeTint="90" w:sz="4" w:space="0"/>
        <w:insideH w:val="single" w:color="CCCCCC" w:themeColor="accent3" w:themeTint="90" w:sz="4" w:space="0"/>
      </w:tblBorders>
      <w:tblCellMar>
        <w:left w:w="108" w:type="dxa"/>
        <w:top w:w="0" w:type="dxa"/>
        <w:right w:w="108" w:type="dxa"/>
        <w:bottom w:w="0" w:type="dxa"/>
      </w:tblCellMar>
    </w:tbl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styleId="ListTable2-Accent4" w:customStyle="1">
    <w:name w:val="List Table 2 - Accent 4"/>
    <w:basedOn w:val="a1"/>
    <w:uiPriority w:val="99"/>
    <w:pPr>
      <w:spacing w:after="0" w:line="240" w:lineRule="auto"/>
    </w:pPr>
    <w:tblPr>
      <w:tblStyleRowBandSize w:val="1"/>
      <w:tblStyleColBandSize w:val="1"/>
      <w:tblInd w:w="0" w:type="dxa"/>
      <w:tblBorders>
        <w:top w:val="single" w:color="FFDB6F" w:themeColor="accent4" w:themeTint="90" w:sz="4" w:space="0"/>
        <w:bottom w:val="single" w:color="FFDB6F" w:themeColor="accent4" w:themeTint="90" w:sz="4" w:space="0"/>
        <w:insideH w:val="single" w:color="FFDB6F" w:themeColor="accent4" w:themeTint="90" w:sz="4" w:space="0"/>
      </w:tblBorders>
      <w:tblCellMar>
        <w:left w:w="108" w:type="dxa"/>
        <w:top w:w="0" w:type="dxa"/>
        <w:right w:w="108" w:type="dxa"/>
        <w:bottom w:w="0" w:type="dxa"/>
      </w:tblCellMar>
    </w:tbl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efbf" w:themeColor="accent4" w:themeTint="40" w:fill="ffefbf" w:themeFill="accent4" w:themeFillTint="40"/>
      </w:tcPr>
    </w:tblStylePr>
    <w:tblStylePr w:type="band1Horz">
      <w:rPr>
        <w:rFonts w:ascii="Arial" w:hAnsi="Arial"/>
        <w:color w:val="404040"/>
        <w:sz w:val="22"/>
      </w:rPr>
      <w:tcPr>
        <w:shd w:val="clear" w:color="ffefbf" w:themeColor="accent4" w:themeTint="40" w:fill="ffefbf" w:themeFill="accent4" w:themeFillTint="40"/>
      </w:tcPr>
    </w:tblStylePr>
  </w:style>
  <w:style w:type="table" w:styleId="ListTable2-Accent5" w:customStyle="1">
    <w:name w:val="List Table 2 - Accent 5"/>
    <w:basedOn w:val="a1"/>
    <w:uiPriority w:val="99"/>
    <w:pPr>
      <w:spacing w:after="0" w:line="240" w:lineRule="auto"/>
    </w:pPr>
    <w:tblPr>
      <w:tblStyleRowBandSize w:val="1"/>
      <w:tblStyleColBandSize w:val="1"/>
      <w:tblInd w:w="0" w:type="dxa"/>
      <w:tblBorders>
        <w:top w:val="single" w:color="A2C6E7" w:themeColor="accent5" w:themeTint="90" w:sz="4" w:space="0"/>
        <w:bottom w:val="single" w:color="A2C6E7" w:themeColor="accent5" w:themeTint="90" w:sz="4" w:space="0"/>
        <w:insideH w:val="single" w:color="A2C6E7" w:themeColor="accent5" w:themeTint="90" w:sz="4" w:space="0"/>
      </w:tblBorders>
      <w:tblCellMar>
        <w:left w:w="108" w:type="dxa"/>
        <w:top w:w="0" w:type="dxa"/>
        <w:right w:w="108" w:type="dxa"/>
        <w:bottom w:w="0" w:type="dxa"/>
      </w:tblCellMar>
    </w:tblPr>
    <w:tblStylePr w:type="firstRow">
      <w:rPr>
        <w:rFonts w:ascii="Arial" w:hAnsi="Arial"/>
        <w:b/>
        <w:color w:val="404040"/>
        <w:sz w:val="22"/>
      </w:r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lastRow">
      <w:rPr>
        <w:rFonts w:ascii="Arial" w:hAnsi="Arial"/>
        <w:b/>
        <w:color w:val="404040"/>
        <w:sz w:val="22"/>
      </w:r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5e5f4" w:themeColor="accent5" w:themeTint="40" w:fill="d5e5f4" w:themeFill="accent5" w:themeFillTint="40"/>
      </w:tcPr>
    </w:tblStylePr>
    <w:tblStylePr w:type="band1Horz">
      <w:rPr>
        <w:rFonts w:ascii="Arial" w:hAnsi="Arial"/>
        <w:color w:val="404040"/>
        <w:sz w:val="22"/>
      </w:rPr>
      <w:tcPr>
        <w:shd w:val="clear" w:color="d5e5f4" w:themeColor="accent5" w:themeTint="40" w:fill="d5e5f4" w:themeFill="accent5" w:themeFillTint="40"/>
      </w:tcPr>
    </w:tblStylePr>
  </w:style>
  <w:style w:type="table" w:styleId="ListTable2-Accent6" w:customStyle="1">
    <w:name w:val="List Table 2 - Accent 6"/>
    <w:basedOn w:val="a1"/>
    <w:uiPriority w:val="99"/>
    <w:pPr>
      <w:spacing w:after="0" w:line="240" w:lineRule="auto"/>
    </w:pPr>
    <w:tblPr>
      <w:tblStyleRowBandSize w:val="1"/>
      <w:tblStyleColBandSize w:val="1"/>
      <w:tblInd w:w="0" w:type="dxa"/>
      <w:tblBorders>
        <w:top w:val="single" w:color="ADD394" w:themeColor="accent6" w:themeTint="90" w:sz="4" w:space="0"/>
        <w:bottom w:val="single" w:color="ADD394" w:themeColor="accent6" w:themeTint="90" w:sz="4" w:space="0"/>
        <w:insideH w:val="single" w:color="ADD394" w:themeColor="accent6" w:themeTint="90" w:sz="4" w:space="0"/>
      </w:tblBorders>
      <w:tblCellMar>
        <w:left w:w="108" w:type="dxa"/>
        <w:top w:w="0" w:type="dxa"/>
        <w:right w:w="108" w:type="dxa"/>
        <w:bottom w:w="0" w:type="dxa"/>
      </w:tblCellMar>
    </w:tbl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styleId="ListTable3" w:customStyle="1">
    <w:name w:val="List Table 3"/>
    <w:basedOn w:val="a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108" w:type="dxa"/>
        <w:top w:w="0" w:type="dxa"/>
        <w:right w:w="108" w:type="dxa"/>
        <w:bottom w:w="0" w:type="dxa"/>
      </w:tblCellMar>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styleId="ListTable3-Accent1" w:customStyle="1">
    <w:name w:val="List Table 3 - Accent 1"/>
    <w:basedOn w:val="a1"/>
    <w:uiPriority w:val="99"/>
    <w:pPr>
      <w:spacing w:after="0" w:line="240" w:lineRule="auto"/>
    </w:pPr>
    <w:tblPr>
      <w:tblStyleRowBandSize w:val="1"/>
      <w:tblStyleColBandSize w:val="1"/>
      <w:tblInd w:w="0" w:type="dxa"/>
      <w:tblBorders>
        <w:top w:val="single" w:color="4472C4" w:themeColor="accent1" w:sz="4" w:space="0"/>
        <w:left w:val="single" w:color="4472C4" w:themeColor="accent1" w:sz="4" w:space="0"/>
        <w:bottom w:val="single" w:color="4472C4" w:themeColor="accent1" w:sz="4" w:space="0"/>
        <w:right w:val="single" w:color="4472C4" w:themeColor="accent1" w:sz="4" w:space="0"/>
      </w:tblBorders>
      <w:tblCellMar>
        <w:left w:w="108" w:type="dxa"/>
        <w:top w:w="0" w:type="dxa"/>
        <w:right w:w="108" w:type="dxa"/>
        <w:bottom w:w="0" w:type="dxa"/>
      </w:tblCellMar>
    </w:tblPr>
    <w:tblStylePr w:type="firstRow">
      <w:rPr>
        <w:rFonts w:ascii="Arial" w:hAnsi="Arial"/>
        <w:b/>
        <w:color w:val="ffffff"/>
        <w:sz w:val="22"/>
      </w:r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472C4" w:themeColor="accent1" w:sz="4" w:space="0"/>
          <w:right w:val="single" w:color="4472C4" w:themeColor="accent1" w:sz="4" w:space="0"/>
        </w:tcBorders>
      </w:tcPr>
    </w:tblStylePr>
    <w:tblStylePr w:type="band1Horz">
      <w:rPr>
        <w:rFonts w:ascii="Arial" w:hAnsi="Arial"/>
        <w:color w:val="404040"/>
        <w:sz w:val="22"/>
      </w:rPr>
      <w:tcPr>
        <w:tcBorders>
          <w:top w:val="single" w:color="4472C4" w:themeColor="accent1" w:sz="4" w:space="0"/>
          <w:bottom w:val="single" w:color="4472C4" w:themeColor="accent1" w:sz="4" w:space="0"/>
        </w:tcBorders>
      </w:tcPr>
    </w:tblStylePr>
  </w:style>
  <w:style w:type="table" w:styleId="ListTable3-Accent2" w:customStyle="1">
    <w:name w:val="List Table 3 - Accent 2"/>
    <w:basedOn w:val="a1"/>
    <w:uiPriority w:val="99"/>
    <w:pPr>
      <w:spacing w:after="0" w:line="240" w:lineRule="auto"/>
    </w:pPr>
    <w:tblPr>
      <w:tblStyleRowBandSize w:val="1"/>
      <w:tblStyleColBandSize w:val="1"/>
      <w:tblInd w:w="0" w:type="dxa"/>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CellMar>
        <w:left w:w="108" w:type="dxa"/>
        <w:top w:w="0" w:type="dxa"/>
        <w:right w:w="108" w:type="dxa"/>
        <w:bottom w:w="0" w:type="dxa"/>
      </w:tblCellMar>
    </w:tblPr>
    <w:tblStylePr w:type="firstRow">
      <w:rPr>
        <w:rFonts w:ascii="Arial" w:hAnsi="Arial"/>
        <w:b/>
        <w:color w:val="ffffff"/>
        <w:sz w:val="22"/>
      </w:r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style>
  <w:style w:type="table" w:styleId="ListTable3-Accent3" w:customStyle="1">
    <w:name w:val="List Table 3 - Accent 3"/>
    <w:basedOn w:val="a1"/>
    <w:uiPriority w:val="99"/>
    <w:pPr>
      <w:spacing w:after="0" w:line="240" w:lineRule="auto"/>
    </w:pPr>
    <w:tblPr>
      <w:tblStyleRowBandSize w:val="1"/>
      <w:tblStyleColBandSize w:val="1"/>
      <w:tblInd w:w="0" w:type="dxa"/>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CellMar>
        <w:left w:w="108" w:type="dxa"/>
        <w:top w:w="0" w:type="dxa"/>
        <w:right w:w="108" w:type="dxa"/>
        <w:bottom w:w="0" w:type="dxa"/>
      </w:tblCellMar>
    </w:tblPr>
    <w:tblStylePr w:type="firstRow">
      <w:rPr>
        <w:rFonts w:ascii="Arial" w:hAnsi="Arial"/>
        <w:b/>
        <w:color w:val="ffffff"/>
        <w:sz w:val="22"/>
      </w:r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style>
  <w:style w:type="table" w:styleId="ListTable3-Accent4" w:customStyle="1">
    <w:name w:val="List Table 3 - Accent 4"/>
    <w:basedOn w:val="a1"/>
    <w:uiPriority w:val="99"/>
    <w:pPr>
      <w:spacing w:after="0" w:line="240" w:lineRule="auto"/>
    </w:pPr>
    <w:tblPr>
      <w:tblStyleRowBandSize w:val="1"/>
      <w:tblStyleColBandSize w:val="1"/>
      <w:tblInd w:w="0" w:type="dxa"/>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CellMar>
        <w:left w:w="108" w:type="dxa"/>
        <w:top w:w="0" w:type="dxa"/>
        <w:right w:w="108" w:type="dxa"/>
        <w:bottom w:w="0" w:type="dxa"/>
      </w:tblCellMar>
    </w:tblPr>
    <w:tblStylePr w:type="firstRow">
      <w:rPr>
        <w:rFonts w:ascii="Arial" w:hAnsi="Arial"/>
        <w:b/>
        <w:color w:val="ffffff"/>
        <w:sz w:val="22"/>
      </w:r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style>
  <w:style w:type="table" w:styleId="ListTable3-Accent5" w:customStyle="1">
    <w:name w:val="List Table 3 - Accent 5"/>
    <w:basedOn w:val="a1"/>
    <w:uiPriority w:val="99"/>
    <w:pPr>
      <w:spacing w:after="0" w:line="240" w:lineRule="auto"/>
    </w:pPr>
    <w:tblPr>
      <w:tblStyleRowBandSize w:val="1"/>
      <w:tblStyleColBandSize w:val="1"/>
      <w:tblInd w:w="0" w:type="dxa"/>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CellMar>
        <w:left w:w="108" w:type="dxa"/>
        <w:top w:w="0" w:type="dxa"/>
        <w:right w:w="108" w:type="dxa"/>
        <w:bottom w:w="0" w:type="dxa"/>
      </w:tblCellMar>
    </w:tblPr>
    <w:tblStylePr w:type="firstRow">
      <w:rPr>
        <w:rFonts w:ascii="Arial" w:hAnsi="Arial"/>
        <w:b/>
        <w:color w:val="ffffff"/>
        <w:sz w:val="22"/>
      </w:r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BC2E5" w:themeColor="accent5" w:themeTint="9A" w:sz="4" w:space="0"/>
          <w:right w:val="single" w:color="9BC2E5" w:themeColor="accent5" w:themeTint="9A" w:sz="4" w:space="0"/>
        </w:tcBorders>
      </w:tcPr>
    </w:tblStylePr>
    <w:tblStylePr w:type="band1Horz">
      <w:rPr>
        <w:rFonts w:ascii="Arial" w:hAnsi="Arial"/>
        <w:color w:val="404040"/>
        <w:sz w:val="22"/>
      </w:rPr>
      <w:tcPr>
        <w:tcBorders>
          <w:top w:val="single" w:color="9BC2E5" w:themeColor="accent5" w:themeTint="9A" w:sz="4" w:space="0"/>
          <w:bottom w:val="single" w:color="9BC2E5" w:themeColor="accent5" w:themeTint="9A" w:sz="4" w:space="0"/>
        </w:tcBorders>
      </w:tcPr>
    </w:tblStylePr>
  </w:style>
  <w:style w:type="table" w:styleId="ListTable3-Accent6" w:customStyle="1">
    <w:name w:val="List Table 3 - Accent 6"/>
    <w:basedOn w:val="a1"/>
    <w:uiPriority w:val="99"/>
    <w:pPr>
      <w:spacing w:after="0" w:line="240" w:lineRule="auto"/>
    </w:pPr>
    <w:tblPr>
      <w:tblStyleRowBandSize w:val="1"/>
      <w:tblStyleColBandSize w:val="1"/>
      <w:tblInd w:w="0" w:type="dxa"/>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CellMar>
        <w:left w:w="108" w:type="dxa"/>
        <w:top w:w="0" w:type="dxa"/>
        <w:right w:w="108" w:type="dxa"/>
        <w:bottom w:w="0" w:type="dxa"/>
      </w:tblCellMar>
    </w:tblPr>
    <w:tblStylePr w:type="firstRow">
      <w:rPr>
        <w:rFonts w:ascii="Arial" w:hAnsi="Arial"/>
        <w:b/>
        <w:color w:val="ffffff"/>
        <w:sz w:val="22"/>
      </w:r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style>
  <w:style w:type="table" w:styleId="ListTable4" w:customStyle="1">
    <w:name w:val="List Table 4"/>
    <w:basedOn w:val="a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108" w:type="dxa"/>
        <w:top w:w="0" w:type="dxa"/>
        <w:right w:w="108" w:type="dxa"/>
        <w:bottom w:w="0" w:type="dxa"/>
      </w:tblCellMar>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fbfbf" w:themeColor="text1" w:themeTint="40" w:fill="bfbfbf" w:themeFill="text1" w:themeFillTint="40"/>
      </w:tcPr>
    </w:tblStylePr>
    <w:tblStylePr w:type="band1Horz">
      <w:rPr>
        <w:rFonts w:ascii="Arial" w:hAnsi="Arial"/>
        <w:color w:val="404040"/>
        <w:sz w:val="22"/>
      </w:rPr>
      <w:tcPr>
        <w:shd w:val="clear" w:color="bfbfbf" w:themeColor="text1" w:themeTint="40" w:fill="bfbfbf" w:themeFill="text1" w:themeFillTint="40"/>
      </w:tcPr>
    </w:tblStylePr>
  </w:style>
  <w:style w:type="table" w:styleId="ListTable4-Accent1" w:customStyle="1">
    <w:name w:val="List Table 4 - Accent 1"/>
    <w:basedOn w:val="a1"/>
    <w:uiPriority w:val="99"/>
    <w:pPr>
      <w:spacing w:after="0" w:line="240" w:lineRule="auto"/>
    </w:pPr>
    <w:tblPr>
      <w:tblStyleRowBandSize w:val="1"/>
      <w:tblStyleColBandSize w:val="1"/>
      <w:tblInd w:w="0" w:type="dxa"/>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CellMar>
        <w:left w:w="108" w:type="dxa"/>
        <w:top w:w="0" w:type="dxa"/>
        <w:right w:w="108" w:type="dxa"/>
        <w:bottom w:w="0" w:type="dxa"/>
      </w:tblCellMar>
    </w:tblPr>
    <w:tblStylePr w:type="firstRow">
      <w:rPr>
        <w:rFonts w:ascii="Arial" w:hAnsi="Arial"/>
        <w:b/>
        <w:color w:val="ffffff"/>
        <w:sz w:val="22"/>
      </w:r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cfdbf0" w:themeColor="accent1" w:themeTint="40" w:fill="cfdbf0" w:themeFill="accent1" w:themeFillTint="40"/>
      </w:tcPr>
    </w:tblStylePr>
    <w:tblStylePr w:type="band1Horz">
      <w:rPr>
        <w:rFonts w:ascii="Arial" w:hAnsi="Arial"/>
        <w:color w:val="404040"/>
        <w:sz w:val="22"/>
      </w:rPr>
      <w:tcPr>
        <w:shd w:val="clear" w:color="cfdbf0" w:themeColor="accent1" w:themeTint="40" w:fill="cfdbf0" w:themeFill="accent1" w:themeFillTint="40"/>
      </w:tcPr>
    </w:tblStylePr>
  </w:style>
  <w:style w:type="table" w:styleId="ListTable4-Accent2" w:customStyle="1">
    <w:name w:val="List Table 4 - Accent 2"/>
    <w:basedOn w:val="a1"/>
    <w:uiPriority w:val="99"/>
    <w:pPr>
      <w:spacing w:after="0" w:line="240" w:lineRule="auto"/>
    </w:pPr>
    <w:tblPr>
      <w:tblStyleRowBandSize w:val="1"/>
      <w:tblStyleColBandSize w:val="1"/>
      <w:tblInd w:w="0" w:type="dxa"/>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CellMar>
        <w:left w:w="108" w:type="dxa"/>
        <w:top w:w="0" w:type="dxa"/>
        <w:right w:w="108" w:type="dxa"/>
        <w:bottom w:w="0" w:type="dxa"/>
      </w:tblCellMar>
    </w:tblPr>
    <w:tblStylePr w:type="firstRow">
      <w:rPr>
        <w:rFonts w:ascii="Arial" w:hAnsi="Arial"/>
        <w:b/>
        <w:color w:val="ffffff"/>
        <w:sz w:val="22"/>
      </w:r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styleId="ListTable4-Accent3" w:customStyle="1">
    <w:name w:val="List Table 4 - Accent 3"/>
    <w:basedOn w:val="a1"/>
    <w:uiPriority w:val="99"/>
    <w:pPr>
      <w:spacing w:after="0" w:line="240" w:lineRule="auto"/>
    </w:pPr>
    <w:tblPr>
      <w:tblStyleRowBandSize w:val="1"/>
      <w:tblStyleColBandSize w:val="1"/>
      <w:tblInd w:w="0" w:type="dxa"/>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CellMar>
        <w:left w:w="108" w:type="dxa"/>
        <w:top w:w="0" w:type="dxa"/>
        <w:right w:w="108" w:type="dxa"/>
        <w:bottom w:w="0" w:type="dxa"/>
      </w:tblCellMar>
    </w:tblPr>
    <w:tblStylePr w:type="firstRow">
      <w:rPr>
        <w:rFonts w:ascii="Arial" w:hAnsi="Arial"/>
        <w:b/>
        <w:color w:val="ffffff"/>
        <w:sz w:val="22"/>
      </w:r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styleId="ListTable4-Accent4" w:customStyle="1">
    <w:name w:val="List Table 4 - Accent 4"/>
    <w:basedOn w:val="a1"/>
    <w:uiPriority w:val="99"/>
    <w:pPr>
      <w:spacing w:after="0" w:line="240" w:lineRule="auto"/>
    </w:pPr>
    <w:tblPr>
      <w:tblStyleRowBandSize w:val="1"/>
      <w:tblStyleColBandSize w:val="1"/>
      <w:tblInd w:w="0" w:type="dxa"/>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CellMar>
        <w:left w:w="108" w:type="dxa"/>
        <w:top w:w="0" w:type="dxa"/>
        <w:right w:w="108" w:type="dxa"/>
        <w:bottom w:w="0" w:type="dxa"/>
      </w:tblCellMar>
    </w:tblPr>
    <w:tblStylePr w:type="firstRow">
      <w:rPr>
        <w:rFonts w:ascii="Arial" w:hAnsi="Arial"/>
        <w:b/>
        <w:color w:val="ffffff"/>
        <w:sz w:val="22"/>
      </w:r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efbf" w:themeColor="accent4" w:themeTint="40" w:fill="ffefbf" w:themeFill="accent4" w:themeFillTint="40"/>
      </w:tcPr>
    </w:tblStylePr>
    <w:tblStylePr w:type="band1Horz">
      <w:rPr>
        <w:rFonts w:ascii="Arial" w:hAnsi="Arial"/>
        <w:color w:val="404040"/>
        <w:sz w:val="22"/>
      </w:rPr>
      <w:tcPr>
        <w:shd w:val="clear" w:color="ffefbf" w:themeColor="accent4" w:themeTint="40" w:fill="ffefbf" w:themeFill="accent4" w:themeFillTint="40"/>
      </w:tcPr>
    </w:tblStylePr>
  </w:style>
  <w:style w:type="table" w:styleId="ListTable4-Accent5" w:customStyle="1">
    <w:name w:val="List Table 4 - Accent 5"/>
    <w:basedOn w:val="a1"/>
    <w:uiPriority w:val="99"/>
    <w:pPr>
      <w:spacing w:after="0" w:line="240" w:lineRule="auto"/>
    </w:pPr>
    <w:tblPr>
      <w:tblStyleRowBandSize w:val="1"/>
      <w:tblStyleColBandSize w:val="1"/>
      <w:tblInd w:w="0" w:type="dxa"/>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CellMar>
        <w:left w:w="108" w:type="dxa"/>
        <w:top w:w="0" w:type="dxa"/>
        <w:right w:w="108" w:type="dxa"/>
        <w:bottom w:w="0" w:type="dxa"/>
      </w:tblCellMar>
    </w:tblPr>
    <w:tblStylePr w:type="firstRow">
      <w:rPr>
        <w:rFonts w:ascii="Arial" w:hAnsi="Arial"/>
        <w:b/>
        <w:color w:val="ffffff"/>
        <w:sz w:val="22"/>
      </w:r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5e5f4" w:themeColor="accent5" w:themeTint="40" w:fill="d5e5f4" w:themeFill="accent5" w:themeFillTint="40"/>
      </w:tcPr>
    </w:tblStylePr>
    <w:tblStylePr w:type="band1Horz">
      <w:rPr>
        <w:rFonts w:ascii="Arial" w:hAnsi="Arial"/>
        <w:color w:val="404040"/>
        <w:sz w:val="22"/>
      </w:rPr>
      <w:tcPr>
        <w:shd w:val="clear" w:color="d5e5f4" w:themeColor="accent5" w:themeTint="40" w:fill="d5e5f4" w:themeFill="accent5" w:themeFillTint="40"/>
      </w:tcPr>
    </w:tblStylePr>
  </w:style>
  <w:style w:type="table" w:styleId="ListTable4-Accent6" w:customStyle="1">
    <w:name w:val="List Table 4 - Accent 6"/>
    <w:basedOn w:val="a1"/>
    <w:uiPriority w:val="99"/>
    <w:pPr>
      <w:spacing w:after="0" w:line="240" w:lineRule="auto"/>
    </w:pPr>
    <w:tblPr>
      <w:tblStyleRowBandSize w:val="1"/>
      <w:tblStyleColBandSize w:val="1"/>
      <w:tblInd w:w="0" w:type="dxa"/>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CellMar>
        <w:left w:w="108" w:type="dxa"/>
        <w:top w:w="0" w:type="dxa"/>
        <w:right w:w="108" w:type="dxa"/>
        <w:bottom w:w="0" w:type="dxa"/>
      </w:tblCellMar>
    </w:tblPr>
    <w:tblStylePr w:type="firstRow">
      <w:rPr>
        <w:rFonts w:ascii="Arial" w:hAnsi="Arial"/>
        <w:b/>
        <w:color w:val="ffffff"/>
        <w:sz w:val="22"/>
      </w:r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styleId="ListTable5Dark" w:customStyle="1">
    <w:name w:val="List Table 5 Dark"/>
    <w:basedOn w:val="a1"/>
    <w:uiPriority w:val="99"/>
    <w:pPr>
      <w:spacing w:after="0" w:line="240" w:lineRule="auto"/>
    </w:pPr>
    <w:tblPr>
      <w:tblStyleRowBandSize w:val="1"/>
      <w:tblStyleColBandSize w:val="1"/>
      <w:tblInd w:w="0" w:type="dxa"/>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CellMar>
        <w:left w:w="108" w:type="dxa"/>
        <w:top w:w="0" w:type="dxa"/>
        <w:right w:w="108" w:type="dxa"/>
        <w:bottom w:w="0" w:type="dxa"/>
      </w:tblCellMar>
    </w:tblPr>
    <w:tblStylePr w:type="firstRow">
      <w:rPr>
        <w:rFonts w:ascii="Arial" w:hAnsi="Arial"/>
        <w:b/>
        <w:color w:val="ffffff" w:themeColor="light1"/>
        <w:sz w:val="22"/>
      </w:rPr>
      <w:tcPr>
        <w:tcBorders>
          <w:top w:val="single" w:color="7F7F7F" w:themeColor="text1" w:themeTint="80" w:sz="32" w:space="0"/>
          <w:bottom w:val="single" w:color="FFFFFF" w:themeColor="light1" w:sz="12" w:space="0"/>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lastCol">
      <w:tcPr>
        <w:tcBorders>
          <w:left w:val="single" w:color="FFFFFF" w:themeColor="light1" w:sz="4" w:space="0"/>
          <w:right w:val="single" w:color="7F7F7F" w:themeColor="text1" w:themeTint="80" w:sz="32" w:space="0"/>
        </w:tcBorders>
      </w:tcPr>
    </w:tblStylePr>
    <w:tblStylePr w:type="band1Vert">
      <w:tcPr>
        <w:tcBorders>
          <w:left w:val="single" w:color="FFFFFF" w:themeColor="light1" w:sz="4" w:space="0"/>
          <w:right w:val="single" w:color="FFFFFF" w:themeColor="light1" w:sz="4" w:space="0"/>
        </w:tcBorders>
        <w:shd w:val="clear" w:color="7f7f7f" w:themeColor="text1" w:themeTint="80" w:fill="7f7f7f"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f7f7f" w:themeColor="text1" w:themeTint="80" w:fill="7f7f7f" w:themeFill="text1" w:themeFillTint="80"/>
      </w:tcPr>
    </w:tblStylePr>
    <w:tblStylePr w:type="band2Horz">
      <w:tcPr>
        <w:tcBorders>
          <w:top w:val="single" w:color="FFFFFF" w:themeColor="light1" w:sz="4" w:space="0"/>
          <w:bottom w:val="single" w:color="FFFFFF" w:themeColor="light1" w:sz="4" w:space="0"/>
        </w:tcBorders>
        <w:shd w:val="clear" w:color="7f7f7f" w:themeColor="text1" w:themeTint="80" w:fill="7f7f7f" w:themeFill="text1" w:themeFillTint="80"/>
      </w:tcPr>
    </w:tblStylePr>
  </w:style>
  <w:style w:type="table" w:styleId="ListTable5Dark-Accent1" w:customStyle="1">
    <w:name w:val="List Table 5 Dark - Accent 1"/>
    <w:basedOn w:val="a1"/>
    <w:uiPriority w:val="99"/>
    <w:pPr>
      <w:spacing w:after="0" w:line="240" w:lineRule="auto"/>
    </w:pPr>
    <w:tblPr>
      <w:tblStyleRowBandSize w:val="1"/>
      <w:tblStyleColBandSize w:val="1"/>
      <w:tblInd w:w="0" w:type="dxa"/>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shd w:val="clear" w:color="4472c4" w:themeColor="accent1" w:fill="4472c4" w:themeFill="accent1"/>
      <w:tblCellMar>
        <w:left w:w="108" w:type="dxa"/>
        <w:top w:w="0" w:type="dxa"/>
        <w:right w:w="108" w:type="dxa"/>
        <w:bottom w:w="0" w:type="dxa"/>
      </w:tblCellMar>
    </w:tblPr>
    <w:tblStylePr w:type="firstRow">
      <w:rPr>
        <w:rFonts w:ascii="Arial" w:hAnsi="Arial"/>
        <w:b/>
        <w:color w:val="ffffff" w:themeColor="light1"/>
        <w:sz w:val="22"/>
      </w:rPr>
      <w:tcPr>
        <w:tcBorders>
          <w:top w:val="single" w:color="4472C4" w:themeColor="accent1" w:sz="32" w:space="0"/>
          <w:bottom w:val="single" w:color="FFFFFF" w:themeColor="light1" w:sz="12" w:space="0"/>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4472C4" w:themeColor="accent1" w:sz="32" w:space="0"/>
          <w:right w:val="single" w:color="FFFFFF" w:themeColor="light1" w:sz="4" w:space="0"/>
        </w:tcBorders>
      </w:tcPr>
    </w:tblStylePr>
    <w:tblStylePr w:type="lastCol">
      <w:tcPr>
        <w:tcBorders>
          <w:left w:val="single" w:color="FFFFFF" w:themeColor="light1" w:sz="4" w:space="0"/>
          <w:right w:val="single" w:color="4472C4" w:themeColor="accent1" w:sz="32" w:space="0"/>
        </w:tcBorders>
      </w:tcPr>
    </w:tblStylePr>
    <w:tblStylePr w:type="band1Vert">
      <w:tcPr>
        <w:tcBorders>
          <w:left w:val="single" w:color="FFFFFF" w:themeColor="light1" w:sz="4" w:space="0"/>
          <w:right w:val="single" w:color="FFFFFF" w:themeColor="light1" w:sz="4" w:space="0"/>
        </w:tcBorders>
        <w:shd w:val="clear" w:color="4472c4" w:themeColor="accent1" w:fill="4472c4"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472c4" w:themeColor="accent1" w:fill="4472c4" w:themeFill="accent1"/>
      </w:tcPr>
    </w:tblStylePr>
    <w:tblStylePr w:type="band2Horz">
      <w:tcPr>
        <w:tcBorders>
          <w:top w:val="single" w:color="FFFFFF" w:themeColor="light1" w:sz="4" w:space="0"/>
          <w:bottom w:val="single" w:color="FFFFFF" w:themeColor="light1" w:sz="4" w:space="0"/>
        </w:tcBorders>
        <w:shd w:val="clear" w:color="4472c4" w:themeColor="accent1" w:fill="4472c4" w:themeFill="accent1"/>
      </w:tcPr>
    </w:tblStylePr>
  </w:style>
  <w:style w:type="table" w:styleId="ListTable5Dark-Accent2" w:customStyle="1">
    <w:name w:val="List Table 5 Dark - Accent 2"/>
    <w:basedOn w:val="a1"/>
    <w:uiPriority w:val="99"/>
    <w:pPr>
      <w:spacing w:after="0" w:line="240" w:lineRule="auto"/>
    </w:pPr>
    <w:tblPr>
      <w:tblStyleRowBandSize w:val="1"/>
      <w:tblStyleColBandSize w:val="1"/>
      <w:tblInd w:w="0" w:type="dxa"/>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CellMar>
        <w:left w:w="108" w:type="dxa"/>
        <w:top w:w="0" w:type="dxa"/>
        <w:right w:w="108" w:type="dxa"/>
        <w:bottom w:w="0" w:type="dxa"/>
      </w:tblCellMar>
    </w:tblPr>
    <w:tblStylePr w:type="firstRow">
      <w:rPr>
        <w:rFonts w:ascii="Arial" w:hAnsi="Arial"/>
        <w:b/>
        <w:color w:val="ffffff" w:themeColor="light1"/>
        <w:sz w:val="22"/>
      </w:rPr>
      <w:tcPr>
        <w:tcBorders>
          <w:top w:val="single" w:color="F4B184" w:themeColor="accent2" w:themeTint="97" w:sz="32" w:space="0"/>
          <w:bottom w:val="single" w:color="FFFFFF" w:themeColor="light1" w:sz="12" w:space="0"/>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lastCol">
      <w:tcPr>
        <w:tcBorders>
          <w:left w:val="single" w:color="FFFFFF" w:themeColor="light1" w:sz="4" w:space="0"/>
          <w:right w:val="single" w:color="F4B184" w:themeColor="accent2" w:themeTint="97" w:sz="32" w:space="0"/>
        </w:tcBorders>
      </w:tcPr>
    </w:tblStylePr>
    <w:tblStylePr w:type="band1Vert">
      <w:tcPr>
        <w:tcBorders>
          <w:left w:val="single" w:color="FFFFFF" w:themeColor="light1" w:sz="4" w:space="0"/>
          <w:right w:val="single" w:color="FFFFFF" w:themeColor="light1" w:sz="4" w:space="0"/>
        </w:tcBorders>
        <w:shd w:val="clear" w:color="f4b184" w:themeColor="accent2" w:themeTint="97" w:fill="f4b184"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4b184" w:themeColor="accent2" w:themeTint="97" w:fill="f4b184" w:themeFill="accent2" w:themeFillTint="97"/>
      </w:tcPr>
    </w:tblStylePr>
    <w:tblStylePr w:type="band2Horz">
      <w:tcPr>
        <w:tcBorders>
          <w:top w:val="single" w:color="FFFFFF" w:themeColor="light1" w:sz="4" w:space="0"/>
          <w:bottom w:val="single" w:color="FFFFFF" w:themeColor="light1" w:sz="4" w:space="0"/>
        </w:tcBorders>
        <w:shd w:val="clear" w:color="f4b184" w:themeColor="accent2" w:themeTint="97" w:fill="f4b184" w:themeFill="accent2" w:themeFillTint="97"/>
      </w:tcPr>
    </w:tblStylePr>
  </w:style>
  <w:style w:type="table" w:styleId="ListTable5Dark-Accent3" w:customStyle="1">
    <w:name w:val="List Table 5 Dark - Accent 3"/>
    <w:basedOn w:val="a1"/>
    <w:uiPriority w:val="99"/>
    <w:pPr>
      <w:spacing w:after="0" w:line="240" w:lineRule="auto"/>
    </w:pPr>
    <w:tblPr>
      <w:tblStyleRowBandSize w:val="1"/>
      <w:tblStyleColBandSize w:val="1"/>
      <w:tblInd w:w="0" w:type="dxa"/>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CellMar>
        <w:left w:w="108" w:type="dxa"/>
        <w:top w:w="0" w:type="dxa"/>
        <w:right w:w="108" w:type="dxa"/>
        <w:bottom w:w="0" w:type="dxa"/>
      </w:tblCellMar>
    </w:tblPr>
    <w:tblStylePr w:type="firstRow">
      <w:rPr>
        <w:rFonts w:ascii="Arial" w:hAnsi="Arial"/>
        <w:b/>
        <w:color w:val="ffffff" w:themeColor="light1"/>
        <w:sz w:val="22"/>
      </w:rPr>
      <w:tcPr>
        <w:tcBorders>
          <w:top w:val="single" w:color="C9C9C9" w:themeColor="accent3" w:themeTint="98" w:sz="32" w:space="0"/>
          <w:bottom w:val="single" w:color="FFFFFF" w:themeColor="light1" w:sz="12" w:space="0"/>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lastCol">
      <w:tcPr>
        <w:tcBorders>
          <w:left w:val="single" w:color="FFFFFF" w:themeColor="light1" w:sz="4" w:space="0"/>
          <w:right w:val="single" w:color="C9C9C9" w:themeColor="accent3" w:themeTint="98" w:sz="32" w:space="0"/>
        </w:tcBorders>
      </w:tcPr>
    </w:tblStylePr>
    <w:tblStylePr w:type="band1Vert">
      <w:tcPr>
        <w:tcBorders>
          <w:left w:val="single" w:color="FFFFFF" w:themeColor="light1" w:sz="4" w:space="0"/>
          <w:right w:val="single" w:color="FFFFFF" w:themeColor="light1" w:sz="4" w:space="0"/>
        </w:tcBorders>
        <w:shd w:val="clear" w:color="c9c9c9" w:themeColor="accent3" w:themeTint="98" w:fill="c9c9c9"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tblStylePr w:type="band2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style>
  <w:style w:type="table" w:styleId="ListTable5Dark-Accent4" w:customStyle="1">
    <w:name w:val="List Table 5 Dark - Accent 4"/>
    <w:basedOn w:val="a1"/>
    <w:uiPriority w:val="99"/>
    <w:pPr>
      <w:spacing w:after="0" w:line="240" w:lineRule="auto"/>
    </w:pPr>
    <w:tblPr>
      <w:tblStyleRowBandSize w:val="1"/>
      <w:tblStyleColBandSize w:val="1"/>
      <w:tblInd w:w="0" w:type="dxa"/>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CellMar>
        <w:left w:w="108" w:type="dxa"/>
        <w:top w:w="0" w:type="dxa"/>
        <w:right w:w="108" w:type="dxa"/>
        <w:bottom w:w="0" w:type="dxa"/>
      </w:tblCellMar>
    </w:tblPr>
    <w:tblStylePr w:type="firstRow">
      <w:rPr>
        <w:rFonts w:ascii="Arial" w:hAnsi="Arial"/>
        <w:b/>
        <w:color w:val="ffffff" w:themeColor="light1"/>
        <w:sz w:val="22"/>
      </w:rPr>
      <w:tcPr>
        <w:tcBorders>
          <w:top w:val="single" w:color="FFD865" w:themeColor="accent4" w:themeTint="9A" w:sz="32" w:space="0"/>
          <w:bottom w:val="single" w:color="FFFFFF" w:themeColor="light1" w:sz="12" w:space="0"/>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lastCol">
      <w:tcPr>
        <w:tcBorders>
          <w:left w:val="single" w:color="FFFFFF" w:themeColor="light1" w:sz="4" w:space="0"/>
          <w:right w:val="single" w:color="FFD865" w:themeColor="accent4" w:themeTint="9A" w:sz="32" w:space="0"/>
        </w:tcBorders>
      </w:tcPr>
    </w:tblStylePr>
    <w:tblStylePr w:type="band1Vert">
      <w:tcPr>
        <w:tcBorders>
          <w:left w:val="single" w:color="FFFFFF" w:themeColor="light1" w:sz="4" w:space="0"/>
          <w:right w:val="single" w:color="FFFFFF" w:themeColor="light1" w:sz="4" w:space="0"/>
        </w:tcBorders>
        <w:shd w:val="clear" w:color="ffd865" w:themeColor="accent4" w:themeTint="9A" w:fill="ffd865"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d865" w:themeColor="accent4" w:themeTint="9A" w:fill="ffd865" w:themeFill="accent4" w:themeFillTint="9A"/>
      </w:tcPr>
    </w:tblStylePr>
    <w:tblStylePr w:type="band2Horz">
      <w:tcPr>
        <w:tcBorders>
          <w:top w:val="single" w:color="FFFFFF" w:themeColor="light1" w:sz="4" w:space="0"/>
          <w:bottom w:val="single" w:color="FFFFFF" w:themeColor="light1" w:sz="4" w:space="0"/>
        </w:tcBorders>
        <w:shd w:val="clear" w:color="ffd865" w:themeColor="accent4" w:themeTint="9A" w:fill="ffd865" w:themeFill="accent4" w:themeFillTint="9A"/>
      </w:tcPr>
    </w:tblStylePr>
  </w:style>
  <w:style w:type="table" w:styleId="ListTable5Dark-Accent5" w:customStyle="1">
    <w:name w:val="List Table 5 Dark - Accent 5"/>
    <w:basedOn w:val="a1"/>
    <w:uiPriority w:val="99"/>
    <w:pPr>
      <w:spacing w:after="0" w:line="240" w:lineRule="auto"/>
    </w:pPr>
    <w:tblPr>
      <w:tblStyleRowBandSize w:val="1"/>
      <w:tblStyleColBandSize w:val="1"/>
      <w:tblInd w:w="0" w:type="dxa"/>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shd w:val="clear" w:color="9bc2e5" w:themeColor="accent5" w:themeTint="9A" w:fill="9bc2e5" w:themeFill="accent5" w:themeFillTint="9A"/>
      <w:tblCellMar>
        <w:left w:w="108" w:type="dxa"/>
        <w:top w:w="0" w:type="dxa"/>
        <w:right w:w="108" w:type="dxa"/>
        <w:bottom w:w="0" w:type="dxa"/>
      </w:tblCellMar>
    </w:tblPr>
    <w:tblStylePr w:type="firstRow">
      <w:rPr>
        <w:rFonts w:ascii="Arial" w:hAnsi="Arial"/>
        <w:b/>
        <w:color w:val="ffffff" w:themeColor="light1"/>
        <w:sz w:val="22"/>
      </w:rPr>
      <w:tcPr>
        <w:tcBorders>
          <w:top w:val="single" w:color="9BC2E5" w:themeColor="accent5" w:themeTint="9A" w:sz="32" w:space="0"/>
          <w:bottom w:val="single" w:color="FFFFFF" w:themeColor="light1" w:sz="12" w:space="0"/>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9BC2E5" w:themeColor="accent5" w:themeTint="9A" w:sz="32" w:space="0"/>
          <w:right w:val="single" w:color="FFFFFF" w:themeColor="light1" w:sz="4" w:space="0"/>
        </w:tcBorders>
      </w:tcPr>
    </w:tblStylePr>
    <w:tblStylePr w:type="lastCol">
      <w:tcPr>
        <w:tcBorders>
          <w:left w:val="single" w:color="FFFFFF" w:themeColor="light1" w:sz="4" w:space="0"/>
          <w:right w:val="single" w:color="9BC2E5" w:themeColor="accent5" w:themeTint="9A" w:sz="32" w:space="0"/>
        </w:tcBorders>
      </w:tcPr>
    </w:tblStylePr>
    <w:tblStylePr w:type="band1Vert">
      <w:tcPr>
        <w:tcBorders>
          <w:left w:val="single" w:color="FFFFFF" w:themeColor="light1" w:sz="4" w:space="0"/>
          <w:right w:val="single" w:color="FFFFFF" w:themeColor="light1" w:sz="4" w:space="0"/>
        </w:tcBorders>
        <w:shd w:val="clear" w:color="9bc2e5" w:themeColor="accent5" w:themeTint="9A" w:fill="9bc2e5"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bc2e5" w:themeColor="accent5" w:themeTint="9A" w:fill="9bc2e5" w:themeFill="accent5" w:themeFillTint="9A"/>
      </w:tcPr>
    </w:tblStylePr>
    <w:tblStylePr w:type="band2Horz">
      <w:tcPr>
        <w:tcBorders>
          <w:top w:val="single" w:color="FFFFFF" w:themeColor="light1" w:sz="4" w:space="0"/>
          <w:bottom w:val="single" w:color="FFFFFF" w:themeColor="light1" w:sz="4" w:space="0"/>
        </w:tcBorders>
        <w:shd w:val="clear" w:color="9bc2e5" w:themeColor="accent5" w:themeTint="9A" w:fill="9bc2e5" w:themeFill="accent5" w:themeFillTint="9A"/>
      </w:tcPr>
    </w:tblStylePr>
  </w:style>
  <w:style w:type="table" w:styleId="ListTable5Dark-Accent6" w:customStyle="1">
    <w:name w:val="List Table 5 Dark - Accent 6"/>
    <w:basedOn w:val="a1"/>
    <w:uiPriority w:val="99"/>
    <w:pPr>
      <w:spacing w:after="0" w:line="240" w:lineRule="auto"/>
    </w:pPr>
    <w:tblPr>
      <w:tblStyleRowBandSize w:val="1"/>
      <w:tblStyleColBandSize w:val="1"/>
      <w:tblInd w:w="0" w:type="dxa"/>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CellMar>
        <w:left w:w="108" w:type="dxa"/>
        <w:top w:w="0" w:type="dxa"/>
        <w:right w:w="108" w:type="dxa"/>
        <w:bottom w:w="0" w:type="dxa"/>
      </w:tblCellMar>
    </w:tblPr>
    <w:tblStylePr w:type="firstRow">
      <w:rPr>
        <w:rFonts w:ascii="Arial" w:hAnsi="Arial"/>
        <w:b/>
        <w:color w:val="ffffff" w:themeColor="light1"/>
        <w:sz w:val="22"/>
      </w:rPr>
      <w:tcPr>
        <w:tcBorders>
          <w:top w:val="single" w:color="A9D08E" w:themeColor="accent6" w:themeTint="98" w:sz="32" w:space="0"/>
          <w:bottom w:val="single" w:color="FFFFFF" w:themeColor="light1" w:sz="12" w:space="0"/>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lastCol">
      <w:tcPr>
        <w:tcBorders>
          <w:left w:val="single" w:color="FFFFFF" w:themeColor="light1" w:sz="4" w:space="0"/>
          <w:right w:val="single" w:color="A9D08E" w:themeColor="accent6" w:themeTint="98" w:sz="32" w:space="0"/>
        </w:tcBorders>
      </w:tcPr>
    </w:tblStylePr>
    <w:tblStylePr w:type="band1Vert">
      <w:tcPr>
        <w:tcBorders>
          <w:left w:val="single" w:color="FFFFFF" w:themeColor="light1" w:sz="4" w:space="0"/>
          <w:right w:val="single" w:color="FFFFFF" w:themeColor="light1" w:sz="4" w:space="0"/>
        </w:tcBorders>
        <w:shd w:val="clear" w:color="a9d08e" w:themeColor="accent6" w:themeTint="98" w:fill="a9d08e"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tblStylePr w:type="band2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style>
  <w:style w:type="table" w:styleId="ListTable6Colorful" w:customStyle="1">
    <w:name w:val="List Table 6 Colorful"/>
    <w:basedOn w:val="a1"/>
    <w:uiPriority w:val="99"/>
    <w:pPr>
      <w:spacing w:after="0" w:line="240" w:lineRule="auto"/>
    </w:pPr>
    <w:tblPr>
      <w:tblStyleRowBandSize w:val="1"/>
      <w:tblStyleColBandSize w:val="1"/>
      <w:tblInd w:w="0" w:type="dxa"/>
      <w:tblBorders>
        <w:top w:val="single" w:color="7F7F7F" w:themeColor="text1" w:themeTint="80" w:sz="4" w:space="0"/>
        <w:bottom w:val="single" w:color="7F7F7F" w:themeColor="text1" w:themeTint="80" w:sz="4" w:space="0"/>
      </w:tblBorders>
      <w:tblCellMar>
        <w:left w:w="108" w:type="dxa"/>
        <w:top w:w="0" w:type="dxa"/>
        <w:right w:w="108" w:type="dxa"/>
        <w:bottom w:w="0" w:type="dxa"/>
      </w:tblCellMar>
    </w:tblPr>
    <w:tblStylePr w:type="firstRow">
      <w:rPr>
        <w:b/>
        <w:color w:val="000000" w:themeColor="text1"/>
      </w:rPr>
      <w:tcPr>
        <w:tcBorders>
          <w:bottom w:val="single" w:color="7F7F7F" w:themeColor="text1" w:themeTint="80" w:sz="4" w:space="0"/>
        </w:tcBorders>
      </w:tcPr>
    </w:tblStylePr>
    <w:tblStylePr w:type="lastRow">
      <w:rPr>
        <w:b/>
        <w:color w:val="000000" w:themeColor="text1"/>
      </w:rPr>
      <w:tcPr>
        <w:tcBorders>
          <w:top w:val="single" w:color="7F7F7F" w:themeColor="text1" w:themeTint="80" w:sz="4" w:space="0"/>
        </w:tcBorders>
      </w:tcPr>
    </w:tblStylePr>
    <w:tblStylePr w:type="firstCol">
      <w:rPr>
        <w:b/>
        <w:color w:val="000000" w:themeColor="text1"/>
      </w:rPr>
    </w:tblStylePr>
    <w:tblStylePr w:type="lastCol">
      <w:rPr>
        <w:b/>
        <w:color w:val="000000" w:themeColor="text1"/>
      </w:rPr>
    </w:tblStylePr>
    <w:tblStylePr w:type="band1Vert">
      <w:tcPr>
        <w:shd w:val="clear" w:color="bfbfbf" w:themeColor="text1" w:themeTint="40" w:fill="bfbfbf" w:themeFill="text1" w:themeFillTint="40"/>
      </w:tcPr>
    </w:tblStylePr>
    <w:tblStylePr w:type="band1Horz">
      <w:rPr>
        <w:rFonts w:ascii="Arial" w:hAnsi="Arial"/>
        <w:color w:val="000000" w:themeColor="text1"/>
        <w:sz w:val="22"/>
      </w:r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Table6Colorful-Accent1" w:customStyle="1">
    <w:name w:val="List Table 6 Colorful - Accent 1"/>
    <w:basedOn w:val="a1"/>
    <w:uiPriority w:val="99"/>
    <w:pPr>
      <w:spacing w:after="0" w:line="240" w:lineRule="auto"/>
    </w:pPr>
    <w:tblPr>
      <w:tblStyleRowBandSize w:val="1"/>
      <w:tblStyleColBandSize w:val="1"/>
      <w:tblInd w:w="0" w:type="dxa"/>
      <w:tblBorders>
        <w:top w:val="single" w:color="4472C4" w:themeColor="accent1" w:sz="4" w:space="0"/>
        <w:bottom w:val="single" w:color="4472C4" w:themeColor="accent1" w:sz="4" w:space="0"/>
      </w:tblBorders>
      <w:tblCellMar>
        <w:left w:w="108" w:type="dxa"/>
        <w:top w:w="0" w:type="dxa"/>
        <w:right w:w="108" w:type="dxa"/>
        <w:bottom w:w="0" w:type="dxa"/>
      </w:tblCellMar>
    </w:tblPr>
    <w:tblStylePr w:type="firstRow">
      <w:rPr>
        <w:b/>
        <w:color w:val="254175" w:themeColor="accent1" w:themeShade="95"/>
      </w:rPr>
      <w:tcPr>
        <w:tcBorders>
          <w:bottom w:val="single" w:color="4472C4" w:themeColor="accent1" w:sz="4" w:space="0"/>
        </w:tcBorders>
      </w:tcPr>
    </w:tblStylePr>
    <w:tblStylePr w:type="lastRow">
      <w:rPr>
        <w:b/>
        <w:color w:val="254175" w:themeColor="accent1" w:themeShade="95"/>
      </w:rPr>
      <w:tcPr>
        <w:tcBorders>
          <w:top w:val="single" w:color="4472C4" w:themeColor="accent1" w:sz="4" w:space="0"/>
        </w:tcBorders>
      </w:tcPr>
    </w:tblStylePr>
    <w:tblStylePr w:type="firstCol">
      <w:rPr>
        <w:b/>
        <w:color w:val="254175" w:themeColor="accent1" w:themeShade="95"/>
      </w:rPr>
    </w:tblStylePr>
    <w:tblStylePr w:type="lastCol">
      <w:rPr>
        <w:b/>
        <w:color w:val="254175" w:themeColor="accent1" w:themeShade="95"/>
      </w:rPr>
    </w:tblStylePr>
    <w:tblStylePr w:type="band1Vert">
      <w:tcPr>
        <w:shd w:val="clear" w:color="cfdbf0" w:themeColor="accent1" w:themeTint="40" w:fill="cfdbf0" w:themeFill="accent1" w:themeFillTint="40"/>
      </w:tcPr>
    </w:tblStylePr>
    <w:tblStylePr w:type="band1Horz">
      <w:rPr>
        <w:rFonts w:ascii="Arial" w:hAnsi="Arial"/>
        <w:color w:val="254175" w:themeColor="accent1" w:themeShade="95"/>
        <w:sz w:val="22"/>
      </w:r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styleId="ListTable6Colorful-Accent2" w:customStyle="1">
    <w:name w:val="List Table 6 Colorful - Accent 2"/>
    <w:basedOn w:val="a1"/>
    <w:uiPriority w:val="99"/>
    <w:pPr>
      <w:spacing w:after="0" w:line="240" w:lineRule="auto"/>
    </w:pPr>
    <w:tblPr>
      <w:tblStyleRowBandSize w:val="1"/>
      <w:tblStyleColBandSize w:val="1"/>
      <w:tblInd w:w="0" w:type="dxa"/>
      <w:tblBorders>
        <w:top w:val="single" w:color="F4B184" w:themeColor="accent2" w:themeTint="97" w:sz="4" w:space="0"/>
        <w:bottom w:val="single" w:color="F4B184" w:themeColor="accent2" w:themeTint="97" w:sz="4" w:space="0"/>
      </w:tblBorders>
      <w:tblCellMar>
        <w:left w:w="108" w:type="dxa"/>
        <w:top w:w="0" w:type="dxa"/>
        <w:right w:w="108" w:type="dxa"/>
        <w:bottom w:w="0" w:type="dxa"/>
      </w:tblCellMar>
    </w:tblPr>
    <w:tblStylePr w:type="firstRow">
      <w:rPr>
        <w:b/>
        <w:color w:val="f4b184" w:themeColor="accent2" w:themeTint="97" w:themeShade="95"/>
      </w:rPr>
      <w:tcPr>
        <w:tcBorders>
          <w:bottom w:val="single" w:color="F4B184" w:themeColor="accent2" w:themeTint="97" w:sz="4" w:space="0"/>
        </w:tcBorders>
      </w:tcPr>
    </w:tblStylePr>
    <w:tblStylePr w:type="lastRow">
      <w:rPr>
        <w:b/>
        <w:color w:val="f4b184" w:themeColor="accent2" w:themeTint="97" w:themeShade="95"/>
      </w:rPr>
      <w:tcPr>
        <w:tcBorders>
          <w:top w:val="single" w:color="F4B184" w:themeColor="accent2" w:themeTint="97" w:sz="4" w:space="0"/>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cPr>
        <w:shd w:val="clear" w:color="fadecb" w:themeColor="accent2" w:themeTint="40" w:fill="fadecb" w:themeFill="accent2" w:themeFillTint="40"/>
      </w:tcPr>
    </w:tblStyle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customStyle="1">
    <w:name w:val="List Table 6 Colorful - Accent 3"/>
    <w:basedOn w:val="a1"/>
    <w:uiPriority w:val="99"/>
    <w:pPr>
      <w:spacing w:after="0" w:line="240" w:lineRule="auto"/>
    </w:pPr>
    <w:tblPr>
      <w:tblStyleRowBandSize w:val="1"/>
      <w:tblStyleColBandSize w:val="1"/>
      <w:tblInd w:w="0" w:type="dxa"/>
      <w:tblBorders>
        <w:top w:val="single" w:color="C9C9C9" w:themeColor="accent3" w:themeTint="98" w:sz="4" w:space="0"/>
        <w:bottom w:val="single" w:color="C9C9C9" w:themeColor="accent3" w:themeTint="98" w:sz="4" w:space="0"/>
      </w:tblBorders>
      <w:tblCellMar>
        <w:left w:w="108" w:type="dxa"/>
        <w:top w:w="0" w:type="dxa"/>
        <w:right w:w="108" w:type="dxa"/>
        <w:bottom w:w="0" w:type="dxa"/>
      </w:tblCellMar>
    </w:tblPr>
    <w:tblStylePr w:type="firstRow">
      <w:rPr>
        <w:b/>
        <w:color w:val="c9c9c9" w:themeColor="accent3" w:themeTint="98" w:themeShade="95"/>
      </w:rPr>
      <w:tcPr>
        <w:tcBorders>
          <w:bottom w:val="single" w:color="C9C9C9" w:themeColor="accent3" w:themeTint="98" w:sz="4" w:space="0"/>
        </w:tcBorders>
      </w:tcPr>
    </w:tblStylePr>
    <w:tblStylePr w:type="lastRow">
      <w:rPr>
        <w:b/>
        <w:color w:val="c9c9c9" w:themeColor="accent3" w:themeTint="98" w:themeShade="95"/>
      </w:rPr>
      <w:tcPr>
        <w:tcBorders>
          <w:top w:val="single" w:color="C9C9C9" w:themeColor="accent3" w:themeTint="98" w:sz="4" w:space="0"/>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customStyle="1">
    <w:name w:val="List Table 6 Colorful - Accent 4"/>
    <w:basedOn w:val="a1"/>
    <w:uiPriority w:val="99"/>
    <w:pPr>
      <w:spacing w:after="0" w:line="240" w:lineRule="auto"/>
    </w:pPr>
    <w:tblPr>
      <w:tblStyleRowBandSize w:val="1"/>
      <w:tblStyleColBandSize w:val="1"/>
      <w:tblInd w:w="0" w:type="dxa"/>
      <w:tblBorders>
        <w:top w:val="single" w:color="FFD865" w:themeColor="accent4" w:themeTint="9A" w:sz="4" w:space="0"/>
        <w:bottom w:val="single" w:color="FFD865" w:themeColor="accent4" w:themeTint="9A" w:sz="4" w:space="0"/>
      </w:tblBorders>
      <w:tblCellMar>
        <w:left w:w="108" w:type="dxa"/>
        <w:top w:w="0" w:type="dxa"/>
        <w:right w:w="108" w:type="dxa"/>
        <w:bottom w:w="0" w:type="dxa"/>
      </w:tblCellMar>
    </w:tblPr>
    <w:tblStylePr w:type="firstRow">
      <w:rPr>
        <w:b/>
        <w:color w:val="ffd865" w:themeColor="accent4" w:themeTint="9A" w:themeShade="95"/>
      </w:rPr>
      <w:tcPr>
        <w:tcBorders>
          <w:bottom w:val="single" w:color="FFD865" w:themeColor="accent4" w:themeTint="9A" w:sz="4" w:space="0"/>
        </w:tcBorders>
      </w:tcPr>
    </w:tblStylePr>
    <w:tblStylePr w:type="lastRow">
      <w:rPr>
        <w:b/>
        <w:color w:val="ffd865" w:themeColor="accent4" w:themeTint="9A" w:themeShade="95"/>
      </w:rPr>
      <w:tcPr>
        <w:tcBorders>
          <w:top w:val="single" w:color="FFD865" w:themeColor="accent4" w:themeTint="9A" w:sz="4" w:space="0"/>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cPr>
        <w:shd w:val="clear" w:color="ffefbf" w:themeColor="accent4" w:themeTint="40" w:fill="ffefbf" w:themeFill="accent4" w:themeFillTint="40"/>
      </w:tcPr>
    </w:tblStyle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customStyle="1">
    <w:name w:val="List Table 6 Colorful - Accent 5"/>
    <w:basedOn w:val="a1"/>
    <w:uiPriority w:val="99"/>
    <w:pPr>
      <w:spacing w:after="0" w:line="240" w:lineRule="auto"/>
    </w:pPr>
    <w:tblPr>
      <w:tblStyleRowBandSize w:val="1"/>
      <w:tblStyleColBandSize w:val="1"/>
      <w:tblInd w:w="0" w:type="dxa"/>
      <w:tblBorders>
        <w:top w:val="single" w:color="9BC2E5" w:themeColor="accent5" w:themeTint="9A" w:sz="4" w:space="0"/>
        <w:bottom w:val="single" w:color="9BC2E5" w:themeColor="accent5" w:themeTint="9A" w:sz="4" w:space="0"/>
      </w:tblBorders>
      <w:tblCellMar>
        <w:left w:w="108" w:type="dxa"/>
        <w:top w:w="0" w:type="dxa"/>
        <w:right w:w="108" w:type="dxa"/>
        <w:bottom w:w="0" w:type="dxa"/>
      </w:tblCellMar>
    </w:tblPr>
    <w:tblStylePr w:type="firstRow">
      <w:rPr>
        <w:b/>
        <w:color w:val="9bc2e5" w:themeColor="accent5" w:themeTint="9A" w:themeShade="95"/>
      </w:rPr>
      <w:tcPr>
        <w:tcBorders>
          <w:bottom w:val="single" w:color="9BC2E5" w:themeColor="accent5" w:themeTint="9A" w:sz="4" w:space="0"/>
        </w:tcBorders>
      </w:tcPr>
    </w:tblStylePr>
    <w:tblStylePr w:type="lastRow">
      <w:rPr>
        <w:b/>
        <w:color w:val="9bc2e5" w:themeColor="accent5" w:themeTint="9A" w:themeShade="95"/>
      </w:rPr>
      <w:tcPr>
        <w:tcBorders>
          <w:top w:val="single" w:color="9BC2E5" w:themeColor="accent5" w:themeTint="9A" w:sz="4" w:space="0"/>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cPr>
        <w:shd w:val="clear" w:color="d5e5f4" w:themeColor="accent5" w:themeTint="40" w:fill="d5e5f4" w:themeFill="accent5" w:themeFillTint="40"/>
      </w:tcPr>
    </w:tblStylePr>
    <w:tblStylePr w:type="band1Horz">
      <w:rPr>
        <w:rFonts w:ascii="Arial" w:hAnsi="Arial"/>
        <w:color w:val="9bc2e5" w:themeColor="accent5" w:themeTint="9A" w:themeShade="95"/>
        <w:sz w:val="22"/>
      </w:r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styleId="ListTable6Colorful-Accent6" w:customStyle="1">
    <w:name w:val="List Table 6 Colorful - Accent 6"/>
    <w:basedOn w:val="a1"/>
    <w:uiPriority w:val="99"/>
    <w:pPr>
      <w:spacing w:after="0" w:line="240" w:lineRule="auto"/>
    </w:pPr>
    <w:tblPr>
      <w:tblStyleRowBandSize w:val="1"/>
      <w:tblStyleColBandSize w:val="1"/>
      <w:tblInd w:w="0" w:type="dxa"/>
      <w:tblBorders>
        <w:top w:val="single" w:color="A9D08E" w:themeColor="accent6" w:themeTint="98" w:sz="4" w:space="0"/>
        <w:bottom w:val="single" w:color="A9D08E" w:themeColor="accent6" w:themeTint="98" w:sz="4" w:space="0"/>
      </w:tblBorders>
      <w:tblCellMar>
        <w:left w:w="108" w:type="dxa"/>
        <w:top w:w="0" w:type="dxa"/>
        <w:right w:w="108" w:type="dxa"/>
        <w:bottom w:w="0" w:type="dxa"/>
      </w:tblCellMar>
    </w:tblPr>
    <w:tblStylePr w:type="firstRow">
      <w:rPr>
        <w:b/>
        <w:color w:val="a9d08e" w:themeColor="accent6" w:themeTint="98" w:themeShade="95"/>
      </w:rPr>
      <w:tcPr>
        <w:tcBorders>
          <w:bottom w:val="single" w:color="A9D08E" w:themeColor="accent6" w:themeTint="98" w:sz="4" w:space="0"/>
        </w:tcBorders>
      </w:tcPr>
    </w:tblStylePr>
    <w:tblStylePr w:type="lastRow">
      <w:rPr>
        <w:b/>
        <w:color w:val="a9d08e" w:themeColor="accent6" w:themeTint="98" w:themeShade="95"/>
      </w:rPr>
      <w:tcPr>
        <w:tcBorders>
          <w:top w:val="single" w:color="A9D08E" w:themeColor="accent6" w:themeTint="98" w:sz="4" w:space="0"/>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cPr>
        <w:shd w:val="clear" w:color="daebcf" w:themeColor="accent6" w:themeTint="40" w:fill="daebcf" w:themeFill="accent6" w:themeFillTint="40"/>
      </w:tcPr>
    </w:tblStyle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Table7Colorful" w:customStyle="1">
    <w:name w:val="List Table 7 Colorful"/>
    <w:basedOn w:val="a1"/>
    <w:uiPriority w:val="99"/>
    <w:pPr>
      <w:spacing w:after="0" w:line="240" w:lineRule="auto"/>
    </w:pPr>
    <w:tblPr>
      <w:tblStyleRowBandSize w:val="1"/>
      <w:tblStyleColBandSize w:val="1"/>
      <w:tblInd w:w="0" w:type="dxa"/>
      <w:tblBorders>
        <w:right w:val="single" w:color="7F7F7F" w:themeColor="text1" w:themeTint="80" w:sz="4" w:space="0"/>
      </w:tblBorders>
      <w:tblCellMar>
        <w:left w:w="108" w:type="dxa"/>
        <w:top w:w="0" w:type="dxa"/>
        <w:right w:w="108" w:type="dxa"/>
        <w:bottom w:w="0" w:type="dxa"/>
      </w:tblCellMar>
    </w:tblPr>
    <w:tblStylePr w:type="firstRow">
      <w:rPr>
        <w:rFonts w:ascii="Arial" w:hAnsi="Arial"/>
        <w:i/>
        <w:color w:val="7f7f7f" w:themeColor="text1" w:themeTint="80" w:themeShade="95"/>
        <w:sz w:val="22"/>
      </w:rPr>
      <w:tcPr>
        <w:tcBorders>
          <w:top w:val="none" w:color="000000" w:sz="4" w:space="0"/>
          <w:left w:val="none" w:color="000000" w:sz="4" w:space="0"/>
          <w:bottom w:val="single" w:color="7F7F7F" w:themeColor="text1" w:themeTint="80" w:sz="4" w:space="0"/>
          <w:right w:val="none" w:color="000000" w:sz="4" w:space="0"/>
        </w:tcBorders>
        <w:shd w:val="clear" w:color="ffffff" w:themeColor="light1" w:fill="ffffff" w:themeFill="light1"/>
      </w:tcPr>
    </w:tblStylePr>
    <w:tblStylePr w:type="lastRow">
      <w:rPr>
        <w:rFonts w:ascii="Arial" w:hAnsi="Arial"/>
        <w:i/>
        <w:color w:val="7f7f7f" w:themeColor="text1" w:themeTint="80" w:themeShade="95"/>
        <w:sz w:val="22"/>
      </w:rPr>
      <w:tcPr>
        <w:tcBorders>
          <w:top w:val="single" w:color="7F7F7F" w:themeColor="text1" w:themeTint="80"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7f7f7f" w:themeColor="text1" w:themeTint="80" w:themeShade="95"/>
        <w:sz w:val="22"/>
      </w:rPr>
      <w:pPr>
        <w:jc w:val="right"/>
      </w:pPr>
      <w:tcPr>
        <w:tcBorders>
          <w:top w:val="none" w:color="000000" w:sz="4" w:space="0"/>
          <w:left w:val="none" w:color="000000" w:sz="4" w:space="0"/>
          <w:bottom w:val="none" w:color="000000" w:sz="4" w:space="0"/>
          <w:right w:val="single" w:color="7F7F7F" w:themeColor="text1" w:themeTint="80" w:sz="4" w:space="0"/>
        </w:tcBorders>
        <w:shd w:val="clear" w:color="ffffff" w:fill="auto"/>
      </w:tcPr>
    </w:tblStylePr>
    <w:tblStylePr w:type="lastCol">
      <w:rPr>
        <w:rFonts w:ascii="Arial" w:hAnsi="Arial"/>
        <w:i/>
        <w:color w:val="7f7f7f" w:themeColor="text1" w:themeTint="80" w:themeShade="95"/>
        <w:sz w:val="22"/>
      </w:rPr>
      <w:tcPr>
        <w:tcBorders>
          <w:top w:val="none" w:color="000000" w:sz="4" w:space="0"/>
          <w:left w:val="single" w:color="7F7F7F" w:themeColor="text1" w:themeTint="80" w:sz="4" w:space="0"/>
          <w:bottom w:val="none" w:color="000000" w:sz="4" w:space="0"/>
          <w:right w:val="none" w:color="000000" w:sz="4" w:space="0"/>
        </w:tcBorders>
        <w:shd w:val="clear" w:color="ffffff" w:fill="auto"/>
      </w:tcPr>
    </w:tblStylePr>
    <w:tblStylePr w:type="band1Vert">
      <w:tcPr>
        <w:shd w:val="clear" w:color="bfbfbf" w:themeColor="text1" w:themeTint="40" w:fill="bfbfbf" w:themeFill="text1" w:themeFillTint="40"/>
      </w:tcPr>
    </w:tblStyle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ListTable7Colorful-Accent1" w:customStyle="1">
    <w:name w:val="List Table 7 Colorful - Accent 1"/>
    <w:basedOn w:val="a1"/>
    <w:uiPriority w:val="99"/>
    <w:pPr>
      <w:spacing w:after="0" w:line="240" w:lineRule="auto"/>
    </w:pPr>
    <w:tblPr>
      <w:tblStyleRowBandSize w:val="1"/>
      <w:tblStyleColBandSize w:val="1"/>
      <w:tblInd w:w="0" w:type="dxa"/>
      <w:tblBorders>
        <w:right w:val="single" w:color="4472C4" w:themeColor="accent1" w:sz="4" w:space="0"/>
      </w:tblBorders>
      <w:tblCellMar>
        <w:left w:w="108" w:type="dxa"/>
        <w:top w:w="0" w:type="dxa"/>
        <w:right w:w="108" w:type="dxa"/>
        <w:bottom w:w="0" w:type="dxa"/>
      </w:tblCellMar>
    </w:tblPr>
    <w:tblStylePr w:type="firstRow">
      <w:rPr>
        <w:rFonts w:ascii="Arial" w:hAnsi="Arial"/>
        <w:i/>
        <w:color w:val="254175" w:themeColor="accent1" w:themeShade="95"/>
        <w:sz w:val="22"/>
      </w:rPr>
      <w:tcPr>
        <w:tcBorders>
          <w:top w:val="none" w:color="000000" w:sz="4" w:space="0"/>
          <w:left w:val="none" w:color="000000" w:sz="4" w:space="0"/>
          <w:bottom w:val="single" w:color="4472C4" w:themeColor="accent1" w:sz="4" w:space="0"/>
          <w:right w:val="none" w:color="000000" w:sz="4" w:space="0"/>
        </w:tcBorders>
        <w:shd w:val="clear" w:color="ffffff" w:themeColor="light1" w:fill="ffffff" w:themeFill="light1"/>
      </w:tcPr>
    </w:tblStylePr>
    <w:tblStylePr w:type="lastRow">
      <w:rPr>
        <w:rFonts w:ascii="Arial" w:hAnsi="Arial"/>
        <w:i/>
        <w:color w:val="254175" w:themeColor="accent1" w:themeShade="95"/>
        <w:sz w:val="22"/>
      </w:rPr>
      <w:tcPr>
        <w:tcBorders>
          <w:top w:val="single" w:color="4472C4" w:themeColor="accent1"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254175" w:themeColor="accent1" w:themeShade="95"/>
        <w:sz w:val="22"/>
      </w:rPr>
      <w:pPr>
        <w:jc w:val="right"/>
      </w:pPr>
      <w:tcPr>
        <w:tcBorders>
          <w:top w:val="none" w:color="000000" w:sz="4" w:space="0"/>
          <w:left w:val="none" w:color="000000" w:sz="4" w:space="0"/>
          <w:bottom w:val="none" w:color="000000" w:sz="4" w:space="0"/>
          <w:right w:val="single" w:color="4472C4" w:themeColor="accent1" w:sz="4" w:space="0"/>
        </w:tcBorders>
        <w:shd w:val="clear" w:color="ffffff" w:fill="auto"/>
      </w:tcPr>
    </w:tblStylePr>
    <w:tblStylePr w:type="lastCol">
      <w:rPr>
        <w:rFonts w:ascii="Arial" w:hAnsi="Arial"/>
        <w:i/>
        <w:color w:val="254175" w:themeColor="accent1" w:themeShade="95"/>
        <w:sz w:val="22"/>
      </w:rPr>
      <w:tcPr>
        <w:tcBorders>
          <w:top w:val="none" w:color="000000" w:sz="4" w:space="0"/>
          <w:left w:val="single" w:color="4472C4" w:themeColor="accent1" w:sz="4" w:space="0"/>
          <w:bottom w:val="none" w:color="000000" w:sz="4" w:space="0"/>
          <w:right w:val="none" w:color="000000" w:sz="4" w:space="0"/>
        </w:tcBorders>
        <w:shd w:val="clear" w:color="ffffff" w:fill="auto"/>
      </w:tcPr>
    </w:tblStylePr>
    <w:tblStylePr w:type="band1Vert">
      <w:tcPr>
        <w:shd w:val="clear" w:color="cfdbf0" w:themeColor="accent1" w:themeTint="40" w:fill="cfdbf0" w:themeFill="accent1" w:themeFillTint="40"/>
      </w:tcPr>
    </w:tblStylePr>
    <w:tblStylePr w:type="band1Horz">
      <w:rPr>
        <w:rFonts w:ascii="Arial" w:hAnsi="Arial"/>
        <w:color w:val="254175" w:themeColor="accent1" w:themeShade="95"/>
        <w:sz w:val="22"/>
      </w:r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styleId="ListTable7Colorful-Accent2" w:customStyle="1">
    <w:name w:val="List Table 7 Colorful - Accent 2"/>
    <w:basedOn w:val="a1"/>
    <w:uiPriority w:val="99"/>
    <w:pPr>
      <w:spacing w:after="0" w:line="240" w:lineRule="auto"/>
    </w:pPr>
    <w:tblPr>
      <w:tblStyleRowBandSize w:val="1"/>
      <w:tblStyleColBandSize w:val="1"/>
      <w:tblInd w:w="0" w:type="dxa"/>
      <w:tblBorders>
        <w:right w:val="single" w:color="F4B184" w:themeColor="accent2" w:themeTint="97" w:sz="4" w:space="0"/>
      </w:tblBorders>
      <w:tblCellMar>
        <w:left w:w="108" w:type="dxa"/>
        <w:top w:w="0" w:type="dxa"/>
        <w:right w:w="108" w:type="dxa"/>
        <w:bottom w:w="0" w:type="dxa"/>
      </w:tblCellMar>
    </w:tblPr>
    <w:tblStylePr w:type="firstRow">
      <w:rPr>
        <w:rFonts w:ascii="Arial" w:hAnsi="Arial"/>
        <w:i/>
        <w:color w:val="f4b184" w:themeColor="accent2" w:themeTint="97" w:themeShade="95"/>
        <w:sz w:val="22"/>
      </w:rPr>
      <w:tcPr>
        <w:tcBorders>
          <w:top w:val="none" w:color="000000" w:sz="4" w:space="0"/>
          <w:left w:val="none" w:color="000000" w:sz="4" w:space="0"/>
          <w:bottom w:val="single" w:color="F4B184" w:themeColor="accent2" w:themeTint="97" w:sz="4" w:space="0"/>
          <w:right w:val="none" w:color="000000" w:sz="4" w:space="0"/>
        </w:tcBorders>
        <w:shd w:val="clear" w:color="ffffff" w:themeColor="light1" w:fill="ffffff" w:themeFill="light1"/>
      </w:tcPr>
    </w:tblStylePr>
    <w:tblStylePr w:type="lastRow">
      <w:rPr>
        <w:rFonts w:ascii="Arial" w:hAnsi="Arial"/>
        <w:i/>
        <w:color w:val="f4b184" w:themeColor="accent2" w:themeTint="97" w:themeShade="95"/>
        <w:sz w:val="22"/>
      </w:rPr>
      <w:tcPr>
        <w:tcBorders>
          <w:top w:val="single" w:color="F4B184" w:themeColor="accent2" w:themeTint="97"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f4b184" w:themeColor="accent2" w:themeTint="97" w:themeShade="95"/>
        <w:sz w:val="22"/>
      </w:rPr>
      <w:pPr>
        <w:jc w:val="right"/>
      </w:pPr>
      <w:tcPr>
        <w:tcBorders>
          <w:top w:val="none" w:color="000000" w:sz="4" w:space="0"/>
          <w:left w:val="none" w:color="000000" w:sz="4" w:space="0"/>
          <w:bottom w:val="none" w:color="000000" w:sz="4" w:space="0"/>
          <w:right w:val="single" w:color="F4B184" w:themeColor="accent2" w:themeTint="97" w:sz="4" w:space="0"/>
        </w:tcBorders>
        <w:shd w:val="clear" w:color="ffffff" w:fill="auto"/>
      </w:tcPr>
    </w:tblStylePr>
    <w:tblStylePr w:type="lastCol">
      <w:rPr>
        <w:rFonts w:ascii="Arial" w:hAnsi="Arial"/>
        <w:i/>
        <w:color w:val="f4b184" w:themeColor="accent2" w:themeTint="97" w:themeShade="95"/>
        <w:sz w:val="22"/>
      </w:rPr>
      <w:tcPr>
        <w:tcBorders>
          <w:top w:val="none" w:color="000000" w:sz="4" w:space="0"/>
          <w:left w:val="single" w:color="F4B184" w:themeColor="accent2" w:themeTint="97" w:sz="4" w:space="0"/>
          <w:bottom w:val="none" w:color="000000" w:sz="4" w:space="0"/>
          <w:right w:val="none" w:color="000000" w:sz="4" w:space="0"/>
        </w:tcBorders>
        <w:shd w:val="clear" w:color="ffffff" w:fill="auto"/>
      </w:tcPr>
    </w:tblStylePr>
    <w:tblStylePr w:type="band1Vert">
      <w:tcPr>
        <w:shd w:val="clear" w:color="fadecb" w:themeColor="accent2" w:themeTint="40" w:fill="fadecb" w:themeFill="accent2" w:themeFillTint="40"/>
      </w:tcPr>
    </w:tblStyle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customStyle="1">
    <w:name w:val="List Table 7 Colorful - Accent 3"/>
    <w:basedOn w:val="a1"/>
    <w:uiPriority w:val="99"/>
    <w:pPr>
      <w:spacing w:after="0" w:line="240" w:lineRule="auto"/>
    </w:pPr>
    <w:tblPr>
      <w:tblStyleRowBandSize w:val="1"/>
      <w:tblStyleColBandSize w:val="1"/>
      <w:tblInd w:w="0" w:type="dxa"/>
      <w:tblBorders>
        <w:right w:val="single" w:color="C9C9C9" w:themeColor="accent3" w:themeTint="98" w:sz="4" w:space="0"/>
      </w:tblBorders>
      <w:tblCellMar>
        <w:left w:w="108" w:type="dxa"/>
        <w:top w:w="0" w:type="dxa"/>
        <w:right w:w="108" w:type="dxa"/>
        <w:bottom w:w="0" w:type="dxa"/>
      </w:tblCellMar>
    </w:tblPr>
    <w:tblStylePr w:type="firstRow">
      <w:rPr>
        <w:rFonts w:ascii="Arial" w:hAnsi="Arial"/>
        <w:i/>
        <w:color w:val="c9c9c9" w:themeColor="accent3" w:themeTint="98" w:themeShade="95"/>
        <w:sz w:val="22"/>
      </w:rPr>
      <w:tcPr>
        <w:tcBorders>
          <w:top w:val="none" w:color="000000" w:sz="4" w:space="0"/>
          <w:left w:val="none" w:color="000000" w:sz="4" w:space="0"/>
          <w:bottom w:val="single" w:color="C9C9C9" w:themeColor="accent3" w:themeTint="98" w:sz="4" w:space="0"/>
          <w:right w:val="none" w:color="000000" w:sz="4" w:space="0"/>
        </w:tcBorders>
        <w:shd w:val="clear" w:color="ffffff" w:themeColor="light1" w:fill="ffffff" w:themeFill="light1"/>
      </w:tcPr>
    </w:tblStylePr>
    <w:tblStylePr w:type="lastRow">
      <w:rPr>
        <w:rFonts w:ascii="Arial" w:hAnsi="Arial"/>
        <w:i/>
        <w:color w:val="c9c9c9" w:themeColor="accent3" w:themeTint="98" w:themeShade="95"/>
        <w:sz w:val="22"/>
      </w:rPr>
      <w:tcPr>
        <w:tcBorders>
          <w:top w:val="single" w:color="C9C9C9" w:themeColor="accent3" w:themeTint="98"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c9c9c9" w:themeColor="accent3" w:themeTint="98" w:themeShade="95"/>
        <w:sz w:val="22"/>
      </w:rPr>
      <w:pPr>
        <w:jc w:val="right"/>
      </w:pPr>
      <w:tcPr>
        <w:tcBorders>
          <w:top w:val="none" w:color="000000" w:sz="4" w:space="0"/>
          <w:left w:val="none" w:color="000000" w:sz="4" w:space="0"/>
          <w:bottom w:val="none" w:color="000000" w:sz="4" w:space="0"/>
          <w:right w:val="single" w:color="C9C9C9" w:themeColor="accent3" w:themeTint="98" w:sz="4" w:space="0"/>
        </w:tcBorders>
        <w:shd w:val="clear" w:color="ffffff" w:fill="auto"/>
      </w:tcPr>
    </w:tblStylePr>
    <w:tblStylePr w:type="lastCol">
      <w:rPr>
        <w:rFonts w:ascii="Arial" w:hAnsi="Arial"/>
        <w:i/>
        <w:color w:val="c9c9c9" w:themeColor="accent3" w:themeTint="98" w:themeShade="95"/>
        <w:sz w:val="22"/>
      </w:rPr>
      <w:tcPr>
        <w:tcBorders>
          <w:top w:val="none" w:color="000000" w:sz="4" w:space="0"/>
          <w:left w:val="single" w:color="C9C9C9" w:themeColor="accent3" w:themeTint="98" w:sz="4" w:space="0"/>
          <w:bottom w:val="none" w:color="000000" w:sz="4" w:space="0"/>
          <w:right w:val="none" w:color="000000" w:sz="4" w:space="0"/>
        </w:tcBorders>
        <w:shd w:val="clear" w:color="ffffff" w:fill="auto"/>
      </w:tc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customStyle="1">
    <w:name w:val="List Table 7 Colorful - Accent 4"/>
    <w:basedOn w:val="a1"/>
    <w:uiPriority w:val="99"/>
    <w:pPr>
      <w:spacing w:after="0" w:line="240" w:lineRule="auto"/>
    </w:pPr>
    <w:tblPr>
      <w:tblStyleRowBandSize w:val="1"/>
      <w:tblStyleColBandSize w:val="1"/>
      <w:tblInd w:w="0" w:type="dxa"/>
      <w:tblBorders>
        <w:right w:val="single" w:color="FFD865" w:themeColor="accent4" w:themeTint="9A" w:sz="4" w:space="0"/>
      </w:tblBorders>
      <w:tblCellMar>
        <w:left w:w="108" w:type="dxa"/>
        <w:top w:w="0" w:type="dxa"/>
        <w:right w:w="108" w:type="dxa"/>
        <w:bottom w:w="0" w:type="dxa"/>
      </w:tblCellMar>
    </w:tblPr>
    <w:tblStylePr w:type="firstRow">
      <w:rPr>
        <w:rFonts w:ascii="Arial" w:hAnsi="Arial"/>
        <w:i/>
        <w:color w:val="ffd865" w:themeColor="accent4" w:themeTint="9A" w:themeShade="95"/>
        <w:sz w:val="22"/>
      </w:rPr>
      <w:tcPr>
        <w:tcBorders>
          <w:top w:val="none" w:color="000000" w:sz="4" w:space="0"/>
          <w:left w:val="none" w:color="000000" w:sz="4" w:space="0"/>
          <w:bottom w:val="single" w:color="FFD865" w:themeColor="accent4" w:themeTint="9A" w:sz="4" w:space="0"/>
          <w:right w:val="none" w:color="000000" w:sz="4" w:space="0"/>
        </w:tcBorders>
        <w:shd w:val="clear" w:color="ffffff" w:themeColor="light1" w:fill="ffffff" w:themeFill="light1"/>
      </w:tcPr>
    </w:tblStylePr>
    <w:tblStylePr w:type="lastRow">
      <w:rPr>
        <w:rFonts w:ascii="Arial" w:hAnsi="Arial"/>
        <w:i/>
        <w:color w:val="ffd865" w:themeColor="accent4" w:themeTint="9A" w:themeShade="95"/>
        <w:sz w:val="22"/>
      </w:rPr>
      <w:tcPr>
        <w:tcBorders>
          <w:top w:val="single" w:color="FFD865" w:themeColor="accent4" w:themeTint="9A"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ffd865" w:themeColor="accent4" w:themeTint="9A" w:themeShade="95"/>
        <w:sz w:val="22"/>
      </w:rPr>
      <w:pPr>
        <w:jc w:val="right"/>
      </w:pPr>
      <w:tcPr>
        <w:tcBorders>
          <w:top w:val="none" w:color="000000" w:sz="4" w:space="0"/>
          <w:left w:val="none" w:color="000000" w:sz="4" w:space="0"/>
          <w:bottom w:val="none" w:color="000000" w:sz="4" w:space="0"/>
          <w:right w:val="single" w:color="FFD865" w:themeColor="accent4" w:themeTint="9A" w:sz="4" w:space="0"/>
        </w:tcBorders>
        <w:shd w:val="clear" w:color="ffffff" w:fill="auto"/>
      </w:tcPr>
    </w:tblStylePr>
    <w:tblStylePr w:type="lastCol">
      <w:rPr>
        <w:rFonts w:ascii="Arial" w:hAnsi="Arial"/>
        <w:i/>
        <w:color w:val="ffd865" w:themeColor="accent4" w:themeTint="9A" w:themeShade="95"/>
        <w:sz w:val="22"/>
      </w:rPr>
      <w:tcPr>
        <w:tcBorders>
          <w:top w:val="none" w:color="000000" w:sz="4" w:space="0"/>
          <w:left w:val="single" w:color="FFD865" w:themeColor="accent4" w:themeTint="9A" w:sz="4" w:space="0"/>
          <w:bottom w:val="none" w:color="000000" w:sz="4" w:space="0"/>
          <w:right w:val="none" w:color="000000" w:sz="4" w:space="0"/>
        </w:tcBorders>
        <w:shd w:val="clear" w:color="ffffff" w:fill="auto"/>
      </w:tcPr>
    </w:tblStylePr>
    <w:tblStylePr w:type="band1Vert">
      <w:tcPr>
        <w:shd w:val="clear" w:color="ffefbf" w:themeColor="accent4" w:themeTint="40" w:fill="ffefbf" w:themeFill="accent4" w:themeFillTint="40"/>
      </w:tcPr>
    </w:tblStyle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customStyle="1">
    <w:name w:val="List Table 7 Colorful - Accent 5"/>
    <w:basedOn w:val="a1"/>
    <w:uiPriority w:val="99"/>
    <w:pPr>
      <w:spacing w:after="0" w:line="240" w:lineRule="auto"/>
    </w:pPr>
    <w:tblPr>
      <w:tblStyleRowBandSize w:val="1"/>
      <w:tblStyleColBandSize w:val="1"/>
      <w:tblInd w:w="0" w:type="dxa"/>
      <w:tblBorders>
        <w:right w:val="single" w:color="9BC2E5" w:themeColor="accent5" w:themeTint="9A" w:sz="4" w:space="0"/>
      </w:tblBorders>
      <w:tblCellMar>
        <w:left w:w="108" w:type="dxa"/>
        <w:top w:w="0" w:type="dxa"/>
        <w:right w:w="108" w:type="dxa"/>
        <w:bottom w:w="0" w:type="dxa"/>
      </w:tblCellMar>
    </w:tblPr>
    <w:tblStylePr w:type="firstRow">
      <w:rPr>
        <w:rFonts w:ascii="Arial" w:hAnsi="Arial"/>
        <w:i/>
        <w:color w:val="9bc2e5" w:themeColor="accent5" w:themeTint="9A" w:themeShade="95"/>
        <w:sz w:val="22"/>
      </w:rPr>
      <w:tcPr>
        <w:tcBorders>
          <w:top w:val="none" w:color="000000" w:sz="4" w:space="0"/>
          <w:left w:val="none" w:color="000000" w:sz="4" w:space="0"/>
          <w:bottom w:val="single" w:color="9BC2E5" w:themeColor="accent5" w:themeTint="9A" w:sz="4" w:space="0"/>
          <w:right w:val="none" w:color="000000" w:sz="4" w:space="0"/>
        </w:tcBorders>
        <w:shd w:val="clear" w:color="ffffff" w:themeColor="light1" w:fill="ffffff" w:themeFill="light1"/>
      </w:tcPr>
    </w:tblStylePr>
    <w:tblStylePr w:type="lastRow">
      <w:rPr>
        <w:rFonts w:ascii="Arial" w:hAnsi="Arial"/>
        <w:i/>
        <w:color w:val="9bc2e5" w:themeColor="accent5" w:themeTint="9A" w:themeShade="95"/>
        <w:sz w:val="22"/>
      </w:rPr>
      <w:tcPr>
        <w:tcBorders>
          <w:top w:val="single" w:color="9BC2E5" w:themeColor="accent5" w:themeTint="9A"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9bc2e5" w:themeColor="accent5" w:themeTint="9A" w:themeShade="95"/>
        <w:sz w:val="22"/>
      </w:rPr>
      <w:pPr>
        <w:jc w:val="right"/>
      </w:pPr>
      <w:tcPr>
        <w:tcBorders>
          <w:top w:val="none" w:color="000000" w:sz="4" w:space="0"/>
          <w:left w:val="none" w:color="000000" w:sz="4" w:space="0"/>
          <w:bottom w:val="none" w:color="000000" w:sz="4" w:space="0"/>
          <w:right w:val="single" w:color="9BC2E5" w:themeColor="accent5" w:themeTint="9A" w:sz="4" w:space="0"/>
        </w:tcBorders>
        <w:shd w:val="clear" w:color="ffffff" w:fill="auto"/>
      </w:tcPr>
    </w:tblStylePr>
    <w:tblStylePr w:type="lastCol">
      <w:rPr>
        <w:rFonts w:ascii="Arial" w:hAnsi="Arial"/>
        <w:i/>
        <w:color w:val="9bc2e5" w:themeColor="accent5" w:themeTint="9A" w:themeShade="95"/>
        <w:sz w:val="22"/>
      </w:rPr>
      <w:tcPr>
        <w:tcBorders>
          <w:top w:val="none" w:color="000000" w:sz="4" w:space="0"/>
          <w:left w:val="single" w:color="9BC2E5" w:themeColor="accent5" w:themeTint="9A" w:sz="4" w:space="0"/>
          <w:bottom w:val="none" w:color="000000" w:sz="4" w:space="0"/>
          <w:right w:val="none" w:color="000000" w:sz="4" w:space="0"/>
        </w:tcBorders>
        <w:shd w:val="clear" w:color="ffffff" w:fill="auto"/>
      </w:tcPr>
    </w:tblStylePr>
    <w:tblStylePr w:type="band1Vert">
      <w:tcPr>
        <w:shd w:val="clear" w:color="d5e5f4" w:themeColor="accent5" w:themeTint="40" w:fill="d5e5f4" w:themeFill="accent5" w:themeFillTint="40"/>
      </w:tcPr>
    </w:tblStylePr>
    <w:tblStylePr w:type="band1Horz">
      <w:rPr>
        <w:rFonts w:ascii="Arial" w:hAnsi="Arial"/>
        <w:color w:val="9bc2e5" w:themeColor="accent5" w:themeTint="9A" w:themeShade="95"/>
        <w:sz w:val="22"/>
      </w:r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styleId="ListTable7Colorful-Accent6" w:customStyle="1">
    <w:name w:val="List Table 7 Colorful - Accent 6"/>
    <w:basedOn w:val="a1"/>
    <w:uiPriority w:val="99"/>
    <w:pPr>
      <w:spacing w:after="0" w:line="240" w:lineRule="auto"/>
    </w:pPr>
    <w:tblPr>
      <w:tblStyleRowBandSize w:val="1"/>
      <w:tblStyleColBandSize w:val="1"/>
      <w:tblInd w:w="0" w:type="dxa"/>
      <w:tblBorders>
        <w:right w:val="single" w:color="A9D08E" w:themeColor="accent6" w:themeTint="98" w:sz="4" w:space="0"/>
      </w:tblBorders>
      <w:tblCellMar>
        <w:left w:w="108" w:type="dxa"/>
        <w:top w:w="0" w:type="dxa"/>
        <w:right w:w="108" w:type="dxa"/>
        <w:bottom w:w="0" w:type="dxa"/>
      </w:tblCellMar>
    </w:tblPr>
    <w:tblStylePr w:type="firstRow">
      <w:rPr>
        <w:rFonts w:ascii="Arial" w:hAnsi="Arial"/>
        <w:i/>
        <w:color w:val="a9d08e" w:themeColor="accent6" w:themeTint="98" w:themeShade="95"/>
        <w:sz w:val="22"/>
      </w:rPr>
      <w:tcPr>
        <w:tcBorders>
          <w:top w:val="none" w:color="000000" w:sz="4" w:space="0"/>
          <w:left w:val="none" w:color="000000" w:sz="4" w:space="0"/>
          <w:bottom w:val="single" w:color="A9D08E" w:themeColor="accent6" w:themeTint="98" w:sz="4" w:space="0"/>
          <w:right w:val="none" w:color="000000" w:sz="4" w:space="0"/>
        </w:tcBorders>
        <w:shd w:val="clear" w:color="ffffff" w:themeColor="light1" w:fill="ffffff" w:themeFill="light1"/>
      </w:tcPr>
    </w:tblStylePr>
    <w:tblStylePr w:type="lastRow">
      <w:rPr>
        <w:rFonts w:ascii="Arial" w:hAnsi="Arial"/>
        <w:i/>
        <w:color w:val="a9d08e" w:themeColor="accent6" w:themeTint="98" w:themeShade="95"/>
        <w:sz w:val="22"/>
      </w:rPr>
      <w:tcPr>
        <w:tcBorders>
          <w:top w:val="single" w:color="A9D08E" w:themeColor="accent6" w:themeTint="98"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a9d08e" w:themeColor="accent6" w:themeTint="98" w:themeShade="95"/>
        <w:sz w:val="22"/>
      </w:rPr>
      <w:pPr>
        <w:jc w:val="right"/>
      </w:pPr>
      <w:tcPr>
        <w:tcBorders>
          <w:top w:val="none" w:color="000000" w:sz="4" w:space="0"/>
          <w:left w:val="none" w:color="000000" w:sz="4" w:space="0"/>
          <w:bottom w:val="none" w:color="000000" w:sz="4" w:space="0"/>
          <w:right w:val="single" w:color="A9D08E" w:themeColor="accent6" w:themeTint="98" w:sz="4" w:space="0"/>
        </w:tcBorders>
        <w:shd w:val="clear" w:color="ffffff" w:fill="auto"/>
      </w:tcPr>
    </w:tblStylePr>
    <w:tblStylePr w:type="lastCol">
      <w:rPr>
        <w:rFonts w:ascii="Arial" w:hAnsi="Arial"/>
        <w:i/>
        <w:color w:val="a9d08e" w:themeColor="accent6" w:themeTint="98" w:themeShade="95"/>
        <w:sz w:val="22"/>
      </w:rPr>
      <w:tcPr>
        <w:tcBorders>
          <w:top w:val="none" w:color="000000" w:sz="4" w:space="0"/>
          <w:left w:val="single" w:color="A9D08E" w:themeColor="accent6" w:themeTint="98" w:sz="4" w:space="0"/>
          <w:bottom w:val="none" w:color="000000" w:sz="4" w:space="0"/>
          <w:right w:val="none" w:color="000000" w:sz="4" w:space="0"/>
        </w:tcBorders>
        <w:shd w:val="clear" w:color="ffffff" w:fill="auto"/>
      </w:tcPr>
    </w:tblStylePr>
    <w:tblStylePr w:type="band1Vert">
      <w:tcPr>
        <w:shd w:val="clear" w:color="daebcf" w:themeColor="accent6" w:themeTint="40" w:fill="daebcf" w:themeFill="accent6" w:themeFillTint="40"/>
      </w:tcPr>
    </w:tblStyle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ned-Accent" w:customStyle="1">
    <w:name w:val="Lined - Accent"/>
    <w:basedOn w:val="a1"/>
    <w:uiPriority w:val="99"/>
    <w:pPr>
      <w:spacing w:after="0" w:line="240" w:lineRule="auto"/>
    </w:pPr>
    <w:rPr>
      <w:color w:val="404040"/>
      <w:sz w:val="20"/>
      <w:szCs w:val="20"/>
      <w:lang w:eastAsia="ru-RU"/>
    </w:rPr>
    <w:tblPr>
      <w:tblStyleRowBandSize w:val="1"/>
      <w:tblStyleColBandSize w:val="1"/>
      <w:tblInd w:w="0" w:type="dxa"/>
      <w:tblCellMar>
        <w:left w:w="108" w:type="dxa"/>
        <w:top w:w="0" w:type="dxa"/>
        <w:right w:w="108" w:type="dxa"/>
        <w:bottom w:w="0" w:type="dxa"/>
      </w:tblCellMar>
    </w:tblPr>
    <w:tblStylePr w:type="firstRow">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tblStylePr w:type="firstCol">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2f2f2" w:themeColor="text1" w:themeTint="00" w:fill="f2f2f2" w:themeFill="text1" w:themeFillTint="00"/>
      </w:tcPr>
    </w:tblStylePr>
    <w:tblStylePr w:type="band1Horz">
      <w:rPr>
        <w:rFonts w:ascii="Arial" w:hAnsi="Arial"/>
        <w:color w:val="404040"/>
        <w:sz w:val="22"/>
      </w:rPr>
    </w:tblStylePr>
    <w:tblStylePr w:type="band2Horz">
      <w:rPr>
        <w:rFonts w:ascii="Arial" w:hAnsi="Arial"/>
        <w:color w:val="404040"/>
        <w:sz w:val="22"/>
      </w:rPr>
      <w:tcPr>
        <w:shd w:val="clear" w:color="f2f2f2" w:themeColor="text1" w:themeTint="00" w:fill="f2f2f2" w:themeFill="text1" w:themeFillTint="00"/>
      </w:tcPr>
    </w:tblStylePr>
  </w:style>
  <w:style w:type="table" w:styleId="Lined-Accent1" w:customStyle="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left w:w="108" w:type="dxa"/>
        <w:top w:w="0" w:type="dxa"/>
        <w:right w:w="108" w:type="dxa"/>
        <w:bottom w:w="0" w:type="dxa"/>
      </w:tblCellMar>
    </w:tblPr>
    <w:tblStylePr w:type="firstRow">
      <w:rPr>
        <w:rFonts w:ascii="Arial" w:hAnsi="Arial"/>
        <w:color w:val="f2f2f2"/>
        <w:sz w:val="22"/>
      </w:rPr>
      <w:tcPr>
        <w:shd w:val="clear" w:color="537dc8" w:themeColor="accent1" w:themeTint="EA" w:fill="537dc8" w:themeFill="accent1" w:themeFillTint="EA"/>
      </w:tcPr>
    </w:tblStylePr>
    <w:tblStylePr w:type="lastRow">
      <w:rPr>
        <w:rFonts w:ascii="Arial" w:hAnsi="Arial"/>
        <w:color w:val="f2f2f2"/>
        <w:sz w:val="22"/>
      </w:rPr>
      <w:tcPr>
        <w:shd w:val="clear" w:color="537dc8" w:themeColor="accent1" w:themeTint="EA" w:fill="537dc8" w:themeFill="accent1" w:themeFillTint="EA"/>
      </w:tcPr>
    </w:tblStylePr>
    <w:tblStylePr w:type="firstCol">
      <w:rPr>
        <w:rFonts w:ascii="Arial" w:hAnsi="Arial"/>
        <w:color w:val="f2f2f2"/>
        <w:sz w:val="22"/>
      </w:rPr>
      <w:tcPr>
        <w:shd w:val="clear" w:color="537dc8" w:themeColor="accent1" w:themeTint="EA" w:fill="537dc8" w:themeFill="accent1" w:themeFillTint="EA"/>
      </w:tcPr>
    </w:tblStylePr>
    <w:tblStylePr w:type="lastCol">
      <w:rPr>
        <w:rFonts w:ascii="Arial" w:hAnsi="Arial"/>
        <w:color w:val="f2f2f2"/>
        <w:sz w:val="22"/>
      </w:r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4d2ec" w:themeColor="accent1" w:themeTint="50" w:fill="c4d2ec" w:themeFill="accent1" w:themeFillTint="50"/>
      </w:tcPr>
    </w:tblStylePr>
  </w:style>
  <w:style w:type="table" w:styleId="Lined-Accent2" w:customStyle="1">
    <w:name w:val="Lined - Accent 2"/>
    <w:basedOn w:val="a1"/>
    <w:uiPriority w:val="99"/>
    <w:pPr>
      <w:spacing w:after="0" w:line="240" w:lineRule="auto"/>
    </w:pPr>
    <w:rPr>
      <w:color w:val="404040"/>
      <w:sz w:val="20"/>
      <w:szCs w:val="20"/>
      <w:lang w:eastAsia="ru-RU"/>
    </w:rPr>
    <w:tblPr>
      <w:tblStyleRowBandSize w:val="1"/>
      <w:tblStyleColBandSize w:val="1"/>
      <w:tblInd w:w="0" w:type="dxa"/>
      <w:tblCellMar>
        <w:left w:w="108" w:type="dxa"/>
        <w:top w:w="0" w:type="dxa"/>
        <w:right w:w="108" w:type="dxa"/>
        <w:bottom w:w="0" w:type="dxa"/>
      </w:tblCellMar>
    </w:tblPr>
    <w:tblStylePr w:type="firstRow">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tblStylePr w:type="firstCol">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styleId="Lined-Accent3" w:customStyle="1">
    <w:name w:val="Lined - Accent 3"/>
    <w:basedOn w:val="a1"/>
    <w:uiPriority w:val="99"/>
    <w:pPr>
      <w:spacing w:after="0" w:line="240" w:lineRule="auto"/>
    </w:pPr>
    <w:rPr>
      <w:color w:val="404040"/>
      <w:sz w:val="20"/>
      <w:szCs w:val="20"/>
      <w:lang w:eastAsia="ru-RU"/>
    </w:rPr>
    <w:tblPr>
      <w:tblStyleRowBandSize w:val="1"/>
      <w:tblStyleColBandSize w:val="1"/>
      <w:tblInd w:w="0" w:type="dxa"/>
      <w:tblCellMar>
        <w:left w:w="108" w:type="dxa"/>
        <w:top w:w="0" w:type="dxa"/>
        <w:right w:w="108" w:type="dxa"/>
        <w:bottom w:w="0" w:type="dxa"/>
      </w:tblCellMar>
    </w:tbl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styleId="Lined-Accent4" w:customStyle="1">
    <w:name w:val="Lined - Accent 4"/>
    <w:basedOn w:val="a1"/>
    <w:uiPriority w:val="99"/>
    <w:pPr>
      <w:spacing w:after="0" w:line="240" w:lineRule="auto"/>
    </w:pPr>
    <w:rPr>
      <w:color w:val="404040"/>
      <w:sz w:val="20"/>
      <w:szCs w:val="20"/>
      <w:lang w:eastAsia="ru-RU"/>
    </w:rPr>
    <w:tblPr>
      <w:tblStyleRowBandSize w:val="1"/>
      <w:tblStyleColBandSize w:val="1"/>
      <w:tblInd w:w="0" w:type="dxa"/>
      <w:tblCellMar>
        <w:left w:w="108" w:type="dxa"/>
        <w:top w:w="0" w:type="dxa"/>
        <w:right w:w="108" w:type="dxa"/>
        <w:bottom w:w="0" w:type="dxa"/>
      </w:tblCellMar>
    </w:tblPr>
    <w:tblStylePr w:type="firstRow">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tblStylePr w:type="firstCol">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style>
  <w:style w:type="table" w:styleId="Lined-Accent5" w:customStyle="1">
    <w:name w:val="Lined - Accent 5"/>
    <w:basedOn w:val="a1"/>
    <w:uiPriority w:val="99"/>
    <w:pPr>
      <w:spacing w:after="0" w:line="240" w:lineRule="auto"/>
    </w:pPr>
    <w:rPr>
      <w:color w:val="404040"/>
      <w:sz w:val="20"/>
      <w:szCs w:val="20"/>
      <w:lang w:eastAsia="ru-RU"/>
    </w:rPr>
    <w:tblPr>
      <w:tblStyleRowBandSize w:val="1"/>
      <w:tblStyleColBandSize w:val="1"/>
      <w:tblInd w:w="0" w:type="dxa"/>
      <w:tblCellMar>
        <w:left w:w="108" w:type="dxa"/>
        <w:top w:w="0" w:type="dxa"/>
        <w:right w:w="108" w:type="dxa"/>
        <w:bottom w:w="0" w:type="dxa"/>
      </w:tblCellMar>
    </w:tblPr>
    <w:tblStylePr w:type="firstRow">
      <w:rPr>
        <w:rFonts w:ascii="Arial" w:hAnsi="Arial"/>
        <w:color w:val="f2f2f2"/>
        <w:sz w:val="22"/>
      </w:rPr>
      <w:tcPr>
        <w:shd w:val="clear" w:color="5b9bd5" w:themeColor="accent5" w:fill="5b9bd5" w:themeFill="accent5"/>
      </w:tcPr>
    </w:tblStylePr>
    <w:tblStylePr w:type="lastRow">
      <w:rPr>
        <w:rFonts w:ascii="Arial" w:hAnsi="Arial"/>
        <w:color w:val="f2f2f2"/>
        <w:sz w:val="22"/>
      </w:rPr>
      <w:tcPr>
        <w:shd w:val="clear" w:color="5b9bd5" w:themeColor="accent5" w:fill="5b9bd5" w:themeFill="accent5"/>
      </w:tcPr>
    </w:tblStylePr>
    <w:tblStylePr w:type="firstCol">
      <w:rPr>
        <w:rFonts w:ascii="Arial" w:hAnsi="Arial"/>
        <w:color w:val="f2f2f2"/>
        <w:sz w:val="22"/>
      </w:rPr>
      <w:tcPr>
        <w:shd w:val="clear" w:color="5b9bd5" w:themeColor="accent5" w:fill="5b9bd5" w:themeFill="accent5"/>
      </w:tcPr>
    </w:tblStylePr>
    <w:tblStylePr w:type="lastCol">
      <w:rPr>
        <w:rFonts w:ascii="Arial" w:hAnsi="Arial"/>
        <w:color w:val="f2f2f2"/>
        <w:sz w:val="22"/>
      </w:r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deaf6" w:themeColor="accent5" w:themeTint="34" w:fill="ddeaf6" w:themeFill="accent5" w:themeFillTint="34"/>
      </w:tcPr>
    </w:tblStylePr>
  </w:style>
  <w:style w:type="table" w:styleId="Lined-Accent6" w:customStyle="1">
    <w:name w:val="Lined - Accent 6"/>
    <w:basedOn w:val="a1"/>
    <w:uiPriority w:val="99"/>
    <w:pPr>
      <w:spacing w:after="0" w:line="240" w:lineRule="auto"/>
    </w:pPr>
    <w:rPr>
      <w:color w:val="404040"/>
      <w:sz w:val="20"/>
      <w:szCs w:val="20"/>
      <w:lang w:eastAsia="ru-RU"/>
    </w:rPr>
    <w:tblPr>
      <w:tblStyleRowBandSize w:val="1"/>
      <w:tblStyleColBandSize w:val="1"/>
      <w:tblInd w:w="0" w:type="dxa"/>
      <w:tblCellMar>
        <w:left w:w="108" w:type="dxa"/>
        <w:top w:w="0" w:type="dxa"/>
        <w:right w:w="108" w:type="dxa"/>
        <w:bottom w:w="0" w:type="dxa"/>
      </w:tblCellMar>
    </w:tbl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styleId="BorderedLined-Accent" w:customStyle="1">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108" w:type="dxa"/>
        <w:top w:w="0" w:type="dxa"/>
        <w:right w:w="108" w:type="dxa"/>
        <w:bottom w:w="0" w:type="dxa"/>
      </w:tblCellMar>
    </w:tblPr>
    <w:tblStylePr w:type="firstRow">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tblStylePr w:type="firstCol">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2f2f2" w:themeColor="text1" w:themeTint="00" w:fill="f2f2f2" w:themeFill="text1" w:themeFillTint="00"/>
      </w:tcPr>
    </w:tblStylePr>
    <w:tblStylePr w:type="band1Horz">
      <w:rPr>
        <w:rFonts w:ascii="Arial" w:hAnsi="Arial"/>
        <w:color w:val="404040"/>
        <w:sz w:val="22"/>
      </w:rPr>
    </w:tblStylePr>
    <w:tblStylePr w:type="band2Horz">
      <w:rPr>
        <w:rFonts w:ascii="Arial" w:hAnsi="Arial"/>
        <w:color w:val="404040"/>
        <w:sz w:val="22"/>
      </w:rPr>
      <w:tcPr>
        <w:shd w:val="clear" w:color="f2f2f2" w:themeColor="text1" w:themeTint="00" w:fill="f2f2f2" w:themeFill="text1" w:themeFillTint="00"/>
      </w:tcPr>
    </w:tblStylePr>
  </w:style>
  <w:style w:type="table" w:styleId="BorderedLined-Accent1" w:customStyle="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color="254175" w:themeColor="accent1" w:themeShade="95" w:sz="4" w:space="0"/>
        <w:left w:val="single" w:color="254175" w:themeColor="accent1" w:themeShade="95" w:sz="4" w:space="0"/>
        <w:bottom w:val="single" w:color="254175" w:themeColor="accent1" w:themeShade="95" w:sz="4" w:space="0"/>
        <w:right w:val="single" w:color="254175" w:themeColor="accent1" w:themeShade="95" w:sz="4" w:space="0"/>
        <w:insideH w:val="single" w:color="254175" w:themeColor="accent1" w:themeShade="95" w:sz="4" w:space="0"/>
        <w:insideV w:val="single" w:color="254175" w:themeColor="accent1" w:themeShade="95" w:sz="4" w:space="0"/>
      </w:tblBorders>
      <w:tblCellMar>
        <w:left w:w="108" w:type="dxa"/>
        <w:top w:w="0" w:type="dxa"/>
        <w:right w:w="108" w:type="dxa"/>
        <w:bottom w:w="0" w:type="dxa"/>
      </w:tblCellMar>
    </w:tblPr>
    <w:tblStylePr w:type="firstRow">
      <w:rPr>
        <w:rFonts w:ascii="Arial" w:hAnsi="Arial"/>
        <w:color w:val="f2f2f2"/>
        <w:sz w:val="22"/>
      </w:rPr>
      <w:tcPr>
        <w:shd w:val="clear" w:color="537dc8" w:themeColor="accent1" w:themeTint="EA" w:fill="537dc8" w:themeFill="accent1" w:themeFillTint="EA"/>
      </w:tcPr>
    </w:tblStylePr>
    <w:tblStylePr w:type="lastRow">
      <w:rPr>
        <w:rFonts w:ascii="Arial" w:hAnsi="Arial"/>
        <w:color w:val="f2f2f2"/>
        <w:sz w:val="22"/>
      </w:rPr>
      <w:tcPr>
        <w:shd w:val="clear" w:color="537dc8" w:themeColor="accent1" w:themeTint="EA" w:fill="537dc8" w:themeFill="accent1" w:themeFillTint="EA"/>
      </w:tcPr>
    </w:tblStylePr>
    <w:tblStylePr w:type="firstCol">
      <w:rPr>
        <w:rFonts w:ascii="Arial" w:hAnsi="Arial"/>
        <w:color w:val="f2f2f2"/>
        <w:sz w:val="22"/>
      </w:rPr>
      <w:tcPr>
        <w:shd w:val="clear" w:color="537dc8" w:themeColor="accent1" w:themeTint="EA" w:fill="537dc8" w:themeFill="accent1" w:themeFillTint="EA"/>
      </w:tcPr>
    </w:tblStylePr>
    <w:tblStylePr w:type="lastCol">
      <w:rPr>
        <w:rFonts w:ascii="Arial" w:hAnsi="Arial"/>
        <w:color w:val="f2f2f2"/>
        <w:sz w:val="22"/>
      </w:r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4d2ec" w:themeColor="accent1" w:themeTint="50" w:fill="c4d2ec" w:themeFill="accent1" w:themeFillTint="50"/>
      </w:tcPr>
    </w:tblStylePr>
  </w:style>
  <w:style w:type="table" w:styleId="BorderedLined-Accent2" w:customStyle="1">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CellMar>
        <w:left w:w="108" w:type="dxa"/>
        <w:top w:w="0" w:type="dxa"/>
        <w:right w:w="108" w:type="dxa"/>
        <w:bottom w:w="0" w:type="dxa"/>
      </w:tblCellMar>
    </w:tblPr>
    <w:tblStylePr w:type="firstRow">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tblStylePr w:type="firstCol">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styleId="BorderedLined-Accent3" w:customStyle="1">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CellMar>
        <w:left w:w="108" w:type="dxa"/>
        <w:top w:w="0" w:type="dxa"/>
        <w:right w:w="108" w:type="dxa"/>
        <w:bottom w:w="0" w:type="dxa"/>
      </w:tblCellMar>
    </w:tbl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styleId="BorderedLined-Accent4" w:customStyle="1">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CellMar>
        <w:left w:w="108" w:type="dxa"/>
        <w:top w:w="0" w:type="dxa"/>
        <w:right w:w="108" w:type="dxa"/>
        <w:bottom w:w="0" w:type="dxa"/>
      </w:tblCellMar>
    </w:tblPr>
    <w:tblStylePr w:type="firstRow">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tblStylePr w:type="firstCol">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style>
  <w:style w:type="table" w:styleId="BorderedLined-Accent5" w:customStyle="1">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color="245A8D" w:themeColor="accent5" w:themeShade="95" w:sz="4" w:space="0"/>
        <w:left w:val="single" w:color="245A8D" w:themeColor="accent5" w:themeShade="95" w:sz="4" w:space="0"/>
        <w:bottom w:val="single" w:color="245A8D" w:themeColor="accent5" w:themeShade="95" w:sz="4" w:space="0"/>
        <w:right w:val="single" w:color="245A8D" w:themeColor="accent5" w:themeShade="95" w:sz="4" w:space="0"/>
        <w:insideH w:val="single" w:color="245A8D" w:themeColor="accent5" w:themeShade="95" w:sz="4" w:space="0"/>
        <w:insideV w:val="single" w:color="245A8D" w:themeColor="accent5" w:themeShade="95" w:sz="4" w:space="0"/>
      </w:tblBorders>
      <w:tblCellMar>
        <w:left w:w="108" w:type="dxa"/>
        <w:top w:w="0" w:type="dxa"/>
        <w:right w:w="108" w:type="dxa"/>
        <w:bottom w:w="0" w:type="dxa"/>
      </w:tblCellMar>
    </w:tblPr>
    <w:tblStylePr w:type="firstRow">
      <w:rPr>
        <w:rFonts w:ascii="Arial" w:hAnsi="Arial"/>
        <w:color w:val="f2f2f2"/>
        <w:sz w:val="22"/>
      </w:rPr>
      <w:tcPr>
        <w:shd w:val="clear" w:color="5b9bd5" w:themeColor="accent5" w:fill="5b9bd5" w:themeFill="accent5"/>
      </w:tcPr>
    </w:tblStylePr>
    <w:tblStylePr w:type="lastRow">
      <w:rPr>
        <w:rFonts w:ascii="Arial" w:hAnsi="Arial"/>
        <w:color w:val="f2f2f2"/>
        <w:sz w:val="22"/>
      </w:rPr>
      <w:tcPr>
        <w:shd w:val="clear" w:color="5b9bd5" w:themeColor="accent5" w:fill="5b9bd5" w:themeFill="accent5"/>
      </w:tcPr>
    </w:tblStylePr>
    <w:tblStylePr w:type="firstCol">
      <w:rPr>
        <w:rFonts w:ascii="Arial" w:hAnsi="Arial"/>
        <w:color w:val="f2f2f2"/>
        <w:sz w:val="22"/>
      </w:rPr>
      <w:tcPr>
        <w:shd w:val="clear" w:color="5b9bd5" w:themeColor="accent5" w:fill="5b9bd5" w:themeFill="accent5"/>
      </w:tcPr>
    </w:tblStylePr>
    <w:tblStylePr w:type="lastCol">
      <w:rPr>
        <w:rFonts w:ascii="Arial" w:hAnsi="Arial"/>
        <w:color w:val="f2f2f2"/>
        <w:sz w:val="22"/>
      </w:r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deaf6" w:themeColor="accent5" w:themeTint="34" w:fill="ddeaf6" w:themeFill="accent5" w:themeFillTint="34"/>
      </w:tcPr>
    </w:tblStylePr>
  </w:style>
  <w:style w:type="table" w:styleId="BorderedLined-Accent6" w:customStyle="1">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CellMar>
        <w:left w:w="108" w:type="dxa"/>
        <w:top w:w="0" w:type="dxa"/>
        <w:right w:w="108" w:type="dxa"/>
        <w:bottom w:w="0" w:type="dxa"/>
      </w:tblCellMar>
    </w:tbl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styleId="Bordered" w:customStyle="1">
    <w:name w:val="Bordered"/>
    <w:basedOn w:val="a1"/>
    <w:uiPriority w:val="99"/>
    <w:pPr>
      <w:spacing w:after="0" w:line="240" w:lineRule="auto"/>
    </w:pPr>
    <w:tblPr>
      <w:tblStyleRowBandSize w:val="1"/>
      <w:tblStyleColBandSize w:val="1"/>
      <w:tblInd w:w="0" w:type="dxa"/>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108" w:type="dxa"/>
        <w:top w:w="0" w:type="dxa"/>
        <w:right w:w="108" w:type="dxa"/>
        <w:bottom w:w="0" w:type="dxa"/>
      </w:tblCellMar>
    </w:tblPr>
    <w:tblStylePr w:type="firstRow">
      <w:rPr>
        <w:rFonts w:ascii="Arial" w:hAnsi="Arial"/>
        <w:color w:val="404040"/>
        <w:sz w:val="22"/>
      </w:rPr>
      <w:tcPr>
        <w:tcBorders>
          <w:bottom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F7F7F" w:themeColor="text1" w:themeTint="80" w:sz="12" w:space="0"/>
        </w:tcBorders>
      </w:tcPr>
    </w:tblStyle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style>
  <w:style w:type="table" w:styleId="Bordered-Accent1" w:customStyle="1">
    <w:name w:val="Bordered - Accent 1"/>
    <w:basedOn w:val="a1"/>
    <w:uiPriority w:val="99"/>
    <w:pPr>
      <w:spacing w:after="0" w:line="240" w:lineRule="auto"/>
    </w:pPr>
    <w:tblPr>
      <w:tblStyleRowBandSize w:val="1"/>
      <w:tblStyleColBandSize w:val="1"/>
      <w:tblInd w:w="0" w:type="dxa"/>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CellMar>
        <w:left w:w="108" w:type="dxa"/>
        <w:top w:w="0" w:type="dxa"/>
        <w:right w:w="108" w:type="dxa"/>
        <w:bottom w:w="0" w:type="dxa"/>
      </w:tblCellMar>
    </w:tblPr>
    <w:tblStylePr w:type="firstRow">
      <w:rPr>
        <w:rFonts w:ascii="Arial" w:hAnsi="Arial"/>
        <w:color w:val="404040"/>
        <w:sz w:val="22"/>
      </w:rPr>
      <w:tcPr>
        <w:tcBorders>
          <w:bottom w:val="single" w:color="4472C4" w:themeColor="accent1" w:sz="12" w:space="0"/>
        </w:tcBorders>
      </w:tcPr>
    </w:tblStylePr>
    <w:tblStylePr w:type="lastRow">
      <w:rPr>
        <w:rFonts w:ascii="Arial" w:hAnsi="Arial"/>
        <w:color w:val="404040"/>
        <w:sz w:val="22"/>
      </w:rPr>
      <w:tcPr>
        <w:tcBorders>
          <w:top w:val="single" w:color="4472C4"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472C4" w:themeColor="accent1" w:sz="12" w:space="0"/>
        </w:tcBorders>
      </w:tcPr>
    </w:tblStylePr>
    <w:tblStylePr w:type="band1Horz">
      <w:rPr>
        <w:rFonts w:ascii="Arial" w:hAnsi="Arial"/>
        <w:color w:val="404040"/>
        <w:sz w:val="22"/>
      </w:r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style>
  <w:style w:type="table" w:styleId="Bordered-Accent2" w:customStyle="1">
    <w:name w:val="Bordered - Accent 2"/>
    <w:basedOn w:val="a1"/>
    <w:uiPriority w:val="99"/>
    <w:pPr>
      <w:spacing w:after="0" w:line="240" w:lineRule="auto"/>
    </w:pPr>
    <w:tblPr>
      <w:tblStyleRowBandSize w:val="1"/>
      <w:tblStyleColBandSize w:val="1"/>
      <w:tblInd w:w="0" w:type="dxa"/>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left w:w="108" w:type="dxa"/>
        <w:top w:w="0" w:type="dxa"/>
        <w:right w:w="108" w:type="dxa"/>
        <w:bottom w:w="0" w:type="dxa"/>
      </w:tblCellMar>
    </w:tblPr>
    <w:tblStylePr w:type="firstRow">
      <w:rPr>
        <w:rFonts w:ascii="Arial" w:hAnsi="Arial"/>
        <w:color w:val="404040"/>
        <w:sz w:val="22"/>
      </w:rPr>
      <w:tcPr>
        <w:tcBorders>
          <w:bottom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4B184" w:themeColor="accent2" w:themeTint="97" w:sz="12" w:space="0"/>
        </w:tcBorders>
      </w:tc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styleId="Bordered-Accent3" w:customStyle="1">
    <w:name w:val="Bordered - Accent 3"/>
    <w:basedOn w:val="a1"/>
    <w:uiPriority w:val="99"/>
    <w:pPr>
      <w:spacing w:after="0" w:line="240" w:lineRule="auto"/>
    </w:pPr>
    <w:tblPr>
      <w:tblStyleRowBandSize w:val="1"/>
      <w:tblStyleColBandSize w:val="1"/>
      <w:tblInd w:w="0" w:type="dxa"/>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left w:w="108" w:type="dxa"/>
        <w:top w:w="0" w:type="dxa"/>
        <w:right w:w="108" w:type="dxa"/>
        <w:bottom w:w="0" w:type="dxa"/>
      </w:tblCellMar>
    </w:tblPr>
    <w:tblStylePr w:type="firstRow">
      <w:rPr>
        <w:rFonts w:ascii="Arial" w:hAnsi="Arial"/>
        <w:color w:val="404040"/>
        <w:sz w:val="22"/>
      </w:rPr>
      <w:tcPr>
        <w:tcBorders>
          <w:bottom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9C9C9" w:themeColor="accent3" w:themeTint="98" w:sz="12" w:space="0"/>
        </w:tcBorders>
      </w:tc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styleId="Bordered-Accent4" w:customStyle="1">
    <w:name w:val="Bordered - Accent 4"/>
    <w:basedOn w:val="a1"/>
    <w:uiPriority w:val="99"/>
    <w:pPr>
      <w:spacing w:after="0" w:line="240" w:lineRule="auto"/>
    </w:pPr>
    <w:tblPr>
      <w:tblStyleRowBandSize w:val="1"/>
      <w:tblStyleColBandSize w:val="1"/>
      <w:tblInd w:w="0" w:type="dxa"/>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left w:w="108" w:type="dxa"/>
        <w:top w:w="0" w:type="dxa"/>
        <w:right w:w="108" w:type="dxa"/>
        <w:bottom w:w="0" w:type="dxa"/>
      </w:tblCellMar>
    </w:tblPr>
    <w:tblStylePr w:type="firstRow">
      <w:rPr>
        <w:rFonts w:ascii="Arial" w:hAnsi="Arial"/>
        <w:color w:val="404040"/>
        <w:sz w:val="22"/>
      </w:rPr>
      <w:tcPr>
        <w:tcBorders>
          <w:bottom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FD865" w:themeColor="accent4" w:themeTint="9A" w:sz="12" w:space="0"/>
        </w:tcBorders>
      </w:tcPr>
    </w:tblStyle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style>
  <w:style w:type="table" w:styleId="Bordered-Accent5" w:customStyle="1">
    <w:name w:val="Bordered - Accent 5"/>
    <w:basedOn w:val="a1"/>
    <w:uiPriority w:val="99"/>
    <w:pPr>
      <w:spacing w:after="0" w:line="240" w:lineRule="auto"/>
    </w:pPr>
    <w:tblPr>
      <w:tblStyleRowBandSize w:val="1"/>
      <w:tblStyleColBandSize w:val="1"/>
      <w:tblInd w:w="0" w:type="dxa"/>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CellMar>
        <w:left w:w="108" w:type="dxa"/>
        <w:top w:w="0" w:type="dxa"/>
        <w:right w:w="108" w:type="dxa"/>
        <w:bottom w:w="0" w:type="dxa"/>
      </w:tblCellMar>
    </w:tblPr>
    <w:tblStylePr w:type="firstRow">
      <w:rPr>
        <w:rFonts w:ascii="Arial" w:hAnsi="Arial"/>
        <w:color w:val="404040"/>
        <w:sz w:val="22"/>
      </w:rPr>
      <w:tcPr>
        <w:tcBorders>
          <w:bottom w:val="single" w:color="9BC2E5" w:themeColor="accent5" w:themeTint="9A" w:sz="12" w:space="0"/>
        </w:tcBorders>
      </w:tcPr>
    </w:tblStylePr>
    <w:tblStylePr w:type="lastRow">
      <w:rPr>
        <w:rFonts w:ascii="Arial" w:hAnsi="Arial"/>
        <w:color w:val="404040"/>
        <w:sz w:val="22"/>
      </w:rPr>
      <w:tcPr>
        <w:tcBorders>
          <w:top w:val="single" w:color="9BC2E5"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BC2E5" w:themeColor="accent5" w:themeTint="9A" w:sz="12" w:space="0"/>
        </w:tcBorders>
      </w:tcPr>
    </w:tblStylePr>
    <w:tblStylePr w:type="band1Horz">
      <w:rPr>
        <w:rFonts w:ascii="Arial" w:hAnsi="Arial"/>
        <w:color w:val="404040"/>
        <w:sz w:val="22"/>
      </w:r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style>
  <w:style w:type="table" w:styleId="Bordered-Accent6" w:customStyle="1">
    <w:name w:val="Bordered - Accent 6"/>
    <w:basedOn w:val="a1"/>
    <w:uiPriority w:val="99"/>
    <w:pPr>
      <w:spacing w:after="0" w:line="240" w:lineRule="auto"/>
    </w:pPr>
    <w:tblPr>
      <w:tblStyleRowBandSize w:val="1"/>
      <w:tblStyleColBandSize w:val="1"/>
      <w:tblInd w:w="0" w:type="dxa"/>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left w:w="108" w:type="dxa"/>
        <w:top w:w="0" w:type="dxa"/>
        <w:right w:w="108" w:type="dxa"/>
        <w:bottom w:w="0" w:type="dxa"/>
      </w:tblCellMar>
    </w:tblPr>
    <w:tblStylePr w:type="firstRow">
      <w:rPr>
        <w:rFonts w:ascii="Arial" w:hAnsi="Arial"/>
        <w:color w:val="404040"/>
        <w:sz w:val="22"/>
      </w:rPr>
      <w:tcPr>
        <w:tcBorders>
          <w:bottom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A9D08E" w:themeColor="accent6" w:themeTint="98" w:sz="12" w:space="0"/>
        </w:tcBorders>
      </w:tc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character" w:styleId="FootnoteTextChar" w:customStyle="1">
    <w:name w:val="Footnote Text Char"/>
    <w:link w:val="a8"/>
    <w:uiPriority w:val="99"/>
    <w:rPr>
      <w:sz w:val="18"/>
    </w:rPr>
  </w:style>
  <w:style w:type="paragraph" w:styleId="a9">
    <w:name w:val="endnote text"/>
    <w:basedOn w:val="a"/>
    <w:link w:val="aa"/>
    <w:uiPriority w:val="99"/>
    <w:semiHidden/>
    <w:unhideWhenUsed/>
    <w:rPr>
      <w:sz w:val="20"/>
    </w:rPr>
  </w:style>
  <w:style w:type="character" w:styleId="aa" w:customStyle="1">
    <w:name w:val="Текст концевой сноски Знак"/>
    <w:link w:val="a9"/>
    <w:uiPriority w:val="99"/>
    <w:rPr>
      <w:sz w:val="20"/>
    </w:rPr>
  </w:style>
  <w:style w:type="character" w:styleId="ab">
    <w:name w:val="endnote reference"/>
    <w:basedOn w:val="a0"/>
    <w:uiPriority w:val="99"/>
    <w:semiHidden/>
    <w:unhideWhenUsed/>
    <w:rPr>
      <w:vertAlign w:val="superscript"/>
    </w:rPr>
  </w:style>
  <w:style w:type="paragraph" w:styleId="10">
    <w:name w:val="toc 1"/>
    <w:basedOn w:val="a"/>
    <w:next w:val="a"/>
    <w:uiPriority w:val="39"/>
    <w:unhideWhenUsed/>
    <w:pPr>
      <w:spacing w:after="57"/>
    </w:pPr>
  </w:style>
  <w:style w:type="paragraph" w:styleId="21">
    <w:name w:val="toc 2"/>
    <w:basedOn w:val="a"/>
    <w:next w:val="a"/>
    <w:uiPriority w:val="39"/>
    <w:unhideWhenUsed/>
    <w:pPr>
      <w:spacing w:after="57"/>
      <w:ind w:left="283"/>
    </w:pPr>
  </w:style>
  <w:style w:type="paragraph" w:styleId="3">
    <w:name w:val="toc 3"/>
    <w:basedOn w:val="a"/>
    <w:next w:val="a"/>
    <w:uiPriority w:val="39"/>
    <w:unhideWhenUsed/>
    <w:pPr>
      <w:spacing w:after="57"/>
      <w:ind w:left="567"/>
    </w:pPr>
  </w:style>
  <w:style w:type="paragraph" w:styleId="4">
    <w:name w:val="toc 4"/>
    <w:basedOn w:val="a"/>
    <w:next w:val="a"/>
    <w:uiPriority w:val="39"/>
    <w:unhideWhenUsed/>
    <w:pPr>
      <w:spacing w:after="57"/>
      <w:ind w:left="850"/>
    </w:pPr>
  </w:style>
  <w:style w:type="paragraph" w:styleId="5">
    <w:name w:val="toc 5"/>
    <w:basedOn w:val="a"/>
    <w:next w:val="a"/>
    <w:uiPriority w:val="39"/>
    <w:unhideWhenUsed/>
    <w:pPr>
      <w:spacing w:after="57"/>
      <w:ind w:left="1134"/>
    </w:pPr>
  </w:style>
  <w:style w:type="paragraph" w:styleId="6">
    <w:name w:val="toc 6"/>
    <w:basedOn w:val="a"/>
    <w:next w:val="a"/>
    <w:uiPriority w:val="39"/>
    <w:unhideWhenUsed/>
    <w:pPr>
      <w:spacing w:after="57"/>
      <w:ind w:left="1417"/>
    </w:pPr>
  </w:style>
  <w:style w:type="paragraph" w:styleId="7">
    <w:name w:val="toc 7"/>
    <w:basedOn w:val="a"/>
    <w:next w:val="a"/>
    <w:uiPriority w:val="39"/>
    <w:unhideWhenUsed/>
    <w:pPr>
      <w:spacing w:after="57"/>
      <w:ind w:left="1701"/>
    </w:pPr>
  </w:style>
  <w:style w:type="paragraph" w:styleId="8">
    <w:name w:val="toc 8"/>
    <w:basedOn w:val="a"/>
    <w:next w:val="a"/>
    <w:uiPriority w:val="39"/>
    <w:unhideWhenUsed/>
    <w:pPr>
      <w:spacing w:after="57"/>
      <w:ind w:left="1984"/>
    </w:pPr>
  </w:style>
  <w:style w:type="paragraph" w:styleId="9">
    <w:name w:val="toc 9"/>
    <w:basedOn w:val="a"/>
    <w:next w:val="a"/>
    <w:uiPriority w:val="39"/>
    <w:unhideWhenUsed/>
    <w:pPr>
      <w:spacing w:after="57"/>
      <w:ind w:left="2268"/>
    </w:pPr>
  </w:style>
  <w:style w:type="paragraph" w:styleId="ac">
    <w:name w:val="TOC Heading"/>
    <w:uiPriority w:val="39"/>
    <w:unhideWhenUsed/>
  </w:style>
  <w:style w:type="paragraph" w:styleId="ad">
    <w:name w:val="table of figures"/>
    <w:basedOn w:val="a"/>
    <w:next w:val="a"/>
    <w:uiPriority w:val="99"/>
    <w:unhideWhenUsed/>
  </w:style>
  <w:style w:type="paragraph" w:styleId="Heading3" w:customStyle="1">
    <w:name w:val="Heading 3"/>
    <w:basedOn w:val="11"/>
    <w:next w:val="ae"/>
    <w:link w:val="30"/>
    <w:qFormat/>
    <w:pPr>
      <w:numPr>
        <w:numId w:val="1"/>
        <w:ilvl w:val="2"/>
      </w:numPr>
      <w:spacing w:before="140" w:after="120"/>
      <w:outlineLvl w:val="2"/>
    </w:pPr>
    <w:rPr>
      <w:sz w:val="28"/>
      <w:szCs w:val="28"/>
    </w:rPr>
  </w:style>
  <w:style w:type="paragraph" w:styleId="Heading4" w:customStyle="1">
    <w:name w:val="Heading 4"/>
    <w:basedOn w:val="a"/>
    <w:next w:val="a"/>
    <w:link w:val="40"/>
    <w:qFormat/>
    <w:pPr>
      <w:keepNext/>
      <w:numPr>
        <w:numId w:val="1"/>
        <w:ilvl w:val="3"/>
      </w:numPr>
      <w:spacing w:before="240" w:after="60"/>
      <w:outlineLvl w:val="3"/>
    </w:pPr>
    <w:rPr>
      <w:b/>
      <w:bCs/>
    </w:rPr>
  </w:style>
  <w:style w:type="paragraph" w:styleId="Heading5" w:customStyle="1">
    <w:name w:val="Heading 5"/>
    <w:basedOn w:val="a"/>
    <w:next w:val="Heading6"/>
    <w:link w:val="50"/>
    <w:qFormat/>
    <w:pPr>
      <w:numPr>
        <w:numId w:val="1"/>
        <w:ilvl w:val="4"/>
      </w:numPr>
      <w:spacing w:before="480"/>
      <w:jc w:val="center"/>
      <w:outlineLvl w:val="4"/>
    </w:pPr>
    <w:rPr>
      <w:sz w:val="40"/>
      <w:szCs w:val="20"/>
    </w:rPr>
  </w:style>
  <w:style w:type="paragraph" w:styleId="Heading6" w:customStyle="1">
    <w:name w:val="Heading 6"/>
    <w:basedOn w:val="a"/>
    <w:next w:val="a"/>
    <w:link w:val="60"/>
    <w:qFormat/>
    <w:pPr>
      <w:numPr>
        <w:numId w:val="1"/>
        <w:ilvl w:val="5"/>
      </w:numPr>
      <w:spacing w:before="240" w:after="60"/>
      <w:outlineLvl w:val="5"/>
    </w:pPr>
    <w:rPr>
      <w:b/>
      <w:bCs/>
      <w:sz w:val="22"/>
      <w:szCs w:val="22"/>
    </w:rPr>
  </w:style>
  <w:style w:type="character" w:styleId="30" w:customStyle="1">
    <w:name w:val="Заголовок 3 Знак"/>
    <w:basedOn w:val="a0"/>
    <w:link w:val="Heading3"/>
    <w:rPr>
      <w:rFonts w:ascii="Times New Roman" w:hAnsi="Times New Roman" w:eastAsia="Times New Roman" w:cs="Times New Roman"/>
      <w:b/>
      <w:bCs/>
      <w:sz w:val="28"/>
      <w:szCs w:val="28"/>
      <w:lang w:eastAsia="ru-RU"/>
    </w:rPr>
  </w:style>
  <w:style w:type="character" w:styleId="40" w:customStyle="1">
    <w:name w:val="Заголовок 4 Знак"/>
    <w:basedOn w:val="a0"/>
    <w:link w:val="Heading4"/>
    <w:rPr>
      <w:rFonts w:ascii="Times New Roman" w:hAnsi="Times New Roman" w:eastAsia="Times New Roman" w:cs="Times New Roman"/>
      <w:b/>
      <w:bCs/>
      <w:sz w:val="24"/>
      <w:szCs w:val="24"/>
      <w:lang w:eastAsia="ru-RU"/>
    </w:rPr>
  </w:style>
  <w:style w:type="character" w:styleId="50" w:customStyle="1">
    <w:name w:val="Заголовок 5 Знак"/>
    <w:basedOn w:val="a0"/>
    <w:link w:val="Heading5"/>
    <w:rPr>
      <w:rFonts w:ascii="Times New Roman" w:hAnsi="Times New Roman" w:eastAsia="Times New Roman" w:cs="Times New Roman"/>
      <w:sz w:val="40"/>
      <w:szCs w:val="20"/>
      <w:lang w:eastAsia="ru-RU"/>
    </w:rPr>
  </w:style>
  <w:style w:type="character" w:styleId="60" w:customStyle="1">
    <w:name w:val="Заголовок 6 Знак"/>
    <w:basedOn w:val="a0"/>
    <w:link w:val="Heading6"/>
    <w:rPr>
      <w:rFonts w:ascii="Times New Roman" w:hAnsi="Times New Roman" w:eastAsia="Times New Roman" w:cs="Times New Roman"/>
      <w:b/>
      <w:bCs/>
      <w:lang w:eastAsia="ru-RU"/>
    </w:rPr>
  </w:style>
  <w:style w:type="character" w:styleId="WW8Num1z0" w:customStyle="1">
    <w:name w:val="WW8Num1z0"/>
  </w:style>
  <w:style w:type="character" w:styleId="WW8Num1z1" w:customStyle="1">
    <w:name w:val="WW8Num1z1"/>
  </w:style>
  <w:style w:type="character" w:styleId="WW8Num1z2" w:customStyle="1">
    <w:name w:val="WW8Num1z2"/>
  </w:style>
  <w:style w:type="character" w:styleId="WW8Num1z3" w:customStyle="1">
    <w:name w:val="WW8Num1z3"/>
  </w:style>
  <w:style w:type="character" w:styleId="WW8Num1z4" w:customStyle="1">
    <w:name w:val="WW8Num1z4"/>
  </w:style>
  <w:style w:type="character" w:styleId="WW8Num1z5" w:customStyle="1">
    <w:name w:val="WW8Num1z5"/>
  </w:style>
  <w:style w:type="character" w:styleId="WW8Num1z6" w:customStyle="1">
    <w:name w:val="WW8Num1z6"/>
  </w:style>
  <w:style w:type="character" w:styleId="WW8Num1z7" w:customStyle="1">
    <w:name w:val="WW8Num1z7"/>
  </w:style>
  <w:style w:type="character" w:styleId="WW8Num1z8" w:customStyle="1">
    <w:name w:val="WW8Num1z8"/>
  </w:style>
  <w:style w:type="character" w:styleId="WW8Num2z0" w:customStyle="1">
    <w:name w:val="WW8Num2z0"/>
    <w:rPr>
      <w:rFonts w:hint="default"/>
      <w:b w:val="0"/>
      <w:i w:val="0"/>
      <w:color w:val="000000"/>
    </w:rPr>
  </w:style>
  <w:style w:type="character" w:styleId="WW8Num2z1" w:customStyle="1">
    <w:name w:val="WW8Num2z1"/>
  </w:style>
  <w:style w:type="character" w:styleId="WW8Num2z2" w:customStyle="1">
    <w:name w:val="WW8Num2z2"/>
  </w:style>
  <w:style w:type="character" w:styleId="WW8Num2z3" w:customStyle="1">
    <w:name w:val="WW8Num2z3"/>
  </w:style>
  <w:style w:type="character" w:styleId="WW8Num2z4" w:customStyle="1">
    <w:name w:val="WW8Num2z4"/>
  </w:style>
  <w:style w:type="character" w:styleId="WW8Num2z5" w:customStyle="1">
    <w:name w:val="WW8Num2z5"/>
  </w:style>
  <w:style w:type="character" w:styleId="WW8Num2z6" w:customStyle="1">
    <w:name w:val="WW8Num2z6"/>
  </w:style>
  <w:style w:type="character" w:styleId="WW8Num2z7" w:customStyle="1">
    <w:name w:val="WW8Num2z7"/>
  </w:style>
  <w:style w:type="character" w:styleId="WW8Num2z8" w:customStyle="1">
    <w:name w:val="WW8Num2z8"/>
  </w:style>
  <w:style w:type="character" w:styleId="WW8Num3z0" w:customStyle="1">
    <w:name w:val="WW8Num3z0"/>
    <w:rPr>
      <w:rFonts w:hint="default"/>
    </w:rPr>
  </w:style>
  <w:style w:type="character" w:styleId="WW8Num3z1" w:customStyle="1">
    <w:name w:val="WW8Num3z1"/>
  </w:style>
  <w:style w:type="character" w:styleId="WW8Num3z2" w:customStyle="1">
    <w:name w:val="WW8Num3z2"/>
  </w:style>
  <w:style w:type="character" w:styleId="WW8Num3z3" w:customStyle="1">
    <w:name w:val="WW8Num3z3"/>
  </w:style>
  <w:style w:type="character" w:styleId="WW8Num3z4" w:customStyle="1">
    <w:name w:val="WW8Num3z4"/>
  </w:style>
  <w:style w:type="character" w:styleId="WW8Num3z5" w:customStyle="1">
    <w:name w:val="WW8Num3z5"/>
  </w:style>
  <w:style w:type="character" w:styleId="WW8Num3z6" w:customStyle="1">
    <w:name w:val="WW8Num3z6"/>
  </w:style>
  <w:style w:type="character" w:styleId="WW8Num3z7" w:customStyle="1">
    <w:name w:val="WW8Num3z7"/>
  </w:style>
  <w:style w:type="character" w:styleId="WW8Num3z8" w:customStyle="1">
    <w:name w:val="WW8Num3z8"/>
  </w:style>
  <w:style w:type="character" w:styleId="WW8Num4z0" w:customStyle="1">
    <w:name w:val="WW8Num4z0"/>
    <w:rPr>
      <w:rFonts w:hint="default"/>
    </w:rPr>
  </w:style>
  <w:style w:type="character" w:styleId="WW8Num5z0" w:customStyle="1">
    <w:name w:val="WW8Num5z0"/>
    <w:rPr>
      <w:rFonts w:hint="default"/>
    </w:rPr>
  </w:style>
  <w:style w:type="character" w:styleId="12" w:customStyle="1">
    <w:name w:val="Основной шрифт абзаца1"/>
  </w:style>
  <w:style w:type="character" w:styleId="af" w:customStyle="1">
    <w:name w:val="Текст выноски Знак"/>
    <w:rPr>
      <w:rFonts w:ascii="Tahoma" w:hAnsi="Tahoma" w:cs="Tahoma"/>
      <w:sz w:val="16"/>
      <w:szCs w:val="16"/>
    </w:rPr>
  </w:style>
  <w:style w:type="character" w:styleId="af0">
    <w:name w:val="Hyperlink"/>
    <w:uiPriority w:val="99"/>
    <w:rPr>
      <w:color w:val="0000ff"/>
      <w:u w:val="single"/>
    </w:rPr>
  </w:style>
  <w:style w:type="character" w:styleId="af1" w:customStyle="1">
    <w:name w:val="Гипертекстовая ссылка"/>
    <w:rPr>
      <w:rFonts w:cs="Times New Roman"/>
      <w:color w:val="106bbe"/>
    </w:rPr>
  </w:style>
  <w:style w:type="character" w:styleId="af2" w:customStyle="1">
    <w:name w:val="Схема документа Знак"/>
    <w:rPr>
      <w:rFonts w:ascii="Tahoma" w:hAnsi="Tahoma" w:cs="Tahoma"/>
      <w:sz w:val="16"/>
      <w:szCs w:val="16"/>
    </w:rPr>
  </w:style>
  <w:style w:type="character" w:styleId="af3" w:customStyle="1">
    <w:name w:val="Название Знак"/>
    <w:rPr>
      <w:b/>
      <w:bCs/>
      <w:sz w:val="28"/>
      <w:szCs w:val="24"/>
    </w:rPr>
  </w:style>
  <w:style w:type="character" w:styleId="af4" w:customStyle="1">
    <w:name w:val="Подзаголовок Знак"/>
    <w:rPr>
      <w:b/>
      <w:sz w:val="28"/>
    </w:rPr>
  </w:style>
  <w:style w:type="character" w:styleId="af5" w:customStyle="1">
    <w:name w:val="Текст сноски Знак"/>
    <w:basedOn w:val="12"/>
  </w:style>
  <w:style w:type="character" w:styleId="af6" w:customStyle="1">
    <w:name w:val="Символ сноски"/>
    <w:rPr>
      <w:vertAlign w:val="superscript"/>
    </w:rPr>
  </w:style>
  <w:style w:type="character" w:styleId="af7">
    <w:name w:val="FollowedHyperlink"/>
    <w:rPr>
      <w:color w:val="800000"/>
      <w:u w:val="single"/>
    </w:rPr>
  </w:style>
  <w:style w:type="paragraph" w:styleId="11" w:customStyle="1">
    <w:name w:val="Заголовок1"/>
    <w:basedOn w:val="a"/>
    <w:next w:val="ae"/>
    <w:pPr>
      <w:jc w:val="center"/>
    </w:pPr>
    <w:rPr>
      <w:b/>
      <w:bCs/>
    </w:rPr>
  </w:style>
  <w:style w:type="paragraph" w:styleId="ae">
    <w:name w:val="Body Text"/>
    <w:basedOn w:val="a"/>
    <w:link w:val="af8"/>
    <w:pPr>
      <w:ind w:right="-483"/>
      <w:jc w:val="both"/>
    </w:pPr>
    <w:rPr>
      <w:b/>
      <w:bCs/>
    </w:rPr>
  </w:style>
  <w:style w:type="character" w:styleId="af8" w:customStyle="1">
    <w:name w:val="Основной текст Знак"/>
    <w:basedOn w:val="a0"/>
    <w:link w:val="ae"/>
    <w:rPr>
      <w:rFonts w:ascii="Times New Roman" w:hAnsi="Times New Roman" w:eastAsia="Times New Roman" w:cs="Times New Roman"/>
      <w:b/>
      <w:bCs/>
      <w:sz w:val="24"/>
      <w:szCs w:val="24"/>
      <w:lang w:eastAsia="ru-RU"/>
    </w:rPr>
  </w:style>
  <w:style w:type="paragraph" w:styleId="af9">
    <w:name w:val="List"/>
    <w:basedOn w:val="ae"/>
    <w:rPr>
      <w:rFonts w:cs="Droid Sans Devanagari"/>
    </w:rPr>
  </w:style>
  <w:style w:type="paragraph" w:styleId="Caption" w:customStyle="1">
    <w:name w:val="Caption"/>
    <w:basedOn w:val="a"/>
    <w:link w:val="CaptionChar"/>
    <w:qFormat/>
    <w:pPr>
      <w:suppressLineNumbers/>
      <w:spacing w:before="120" w:after="120"/>
    </w:pPr>
    <w:rPr>
      <w:rFonts w:cs="Droid Sans Devanagari"/>
      <w:i/>
      <w:iCs/>
    </w:rPr>
  </w:style>
  <w:style w:type="paragraph" w:styleId="13" w:customStyle="1">
    <w:name w:val="Указатель1"/>
    <w:basedOn w:val="a"/>
    <w:pPr>
      <w:suppressLineNumbers/>
    </w:pPr>
    <w:rPr>
      <w:rFonts w:cs="Droid Sans Devanagari"/>
    </w:rPr>
  </w:style>
  <w:style w:type="paragraph" w:styleId="ConsNonformat" w:customStyle="1">
    <w:name w:val="ConsNonformat"/>
    <w:pPr>
      <w:widowControl w:val="off"/>
      <w:spacing w:after="0" w:line="240" w:lineRule="auto"/>
      <w:ind w:right="19772"/>
    </w:pPr>
    <w:rPr>
      <w:rFonts w:ascii="Courier New" w:hAnsi="Courier New" w:eastAsia="Times New Roman" w:cs="Courier New"/>
      <w:sz w:val="20"/>
      <w:szCs w:val="20"/>
      <w:lang w:eastAsia="zh-CN"/>
    </w:rPr>
  </w:style>
  <w:style w:type="paragraph" w:styleId="ConsPlusTitle" w:customStyle="1">
    <w:name w:val="ConsPlusTitle"/>
    <w:pPr>
      <w:widowControl w:val="off"/>
      <w:spacing w:after="0" w:line="240" w:lineRule="auto"/>
    </w:pPr>
    <w:rPr>
      <w:rFonts w:ascii="Calibri" w:hAnsi="Calibri" w:eastAsia="Calibri" w:cs="Calibri"/>
      <w:b/>
      <w:bCs/>
      <w:lang w:eastAsia="zh-CN"/>
    </w:rPr>
  </w:style>
  <w:style w:type="paragraph" w:styleId="afa" w:customStyle="1">
    <w:name w:val="Знак"/>
    <w:basedOn w:val="a"/>
    <w:rPr>
      <w:rFonts w:ascii="Verdana" w:hAnsi="Verdana" w:cs="Verdana"/>
      <w:sz w:val="20"/>
      <w:szCs w:val="20"/>
      <w:lang w:val="en-US"/>
    </w:rPr>
  </w:style>
  <w:style w:type="paragraph" w:styleId="afb">
    <w:name w:val="No Spacing"/>
    <w:qFormat/>
    <w:pPr>
      <w:spacing w:after="0" w:line="240" w:lineRule="auto"/>
    </w:pPr>
    <w:rPr>
      <w:rFonts w:ascii="Times New Roman" w:hAnsi="Times New Roman" w:eastAsia="Calibri" w:cs="Times New Roman"/>
      <w:sz w:val="28"/>
      <w:lang w:eastAsia="zh-CN"/>
    </w:rPr>
  </w:style>
  <w:style w:type="paragraph" w:styleId="afc">
    <w:name w:val="Balloon Text"/>
    <w:basedOn w:val="a"/>
    <w:link w:val="14"/>
    <w:rPr>
      <w:rFonts w:ascii="Tahoma" w:hAnsi="Tahoma" w:cs="Tahoma"/>
      <w:sz w:val="16"/>
      <w:szCs w:val="16"/>
    </w:rPr>
  </w:style>
  <w:style w:type="character" w:styleId="14" w:customStyle="1">
    <w:name w:val="Текст выноски Знак1"/>
    <w:basedOn w:val="a0"/>
    <w:link w:val="afc"/>
    <w:rPr>
      <w:rFonts w:ascii="Tahoma" w:hAnsi="Tahoma" w:eastAsia="Times New Roman" w:cs="Tahoma"/>
      <w:sz w:val="16"/>
      <w:szCs w:val="16"/>
      <w:lang w:eastAsia="ru-RU"/>
    </w:rPr>
  </w:style>
  <w:style w:type="paragraph" w:styleId="ConsTitle" w:customStyle="1">
    <w:name w:val="ConsTitle"/>
    <w:pPr>
      <w:widowControl w:val="off"/>
      <w:spacing w:after="0" w:line="240" w:lineRule="auto"/>
    </w:pPr>
    <w:rPr>
      <w:rFonts w:ascii="Arial" w:hAnsi="Arial" w:eastAsia="Times New Roman" w:cs="Arial"/>
      <w:b/>
      <w:sz w:val="16"/>
      <w:szCs w:val="20"/>
      <w:lang w:eastAsia="zh-CN"/>
    </w:rPr>
  </w:style>
  <w:style w:type="paragraph" w:styleId="ConsPlusNormal" w:customStyle="1">
    <w:name w:val="ConsPlusNormal"/>
    <w:pPr>
      <w:spacing w:after="0" w:line="240" w:lineRule="auto"/>
      <w:ind w:firstLine="720"/>
    </w:pPr>
    <w:rPr>
      <w:rFonts w:ascii="Arial" w:hAnsi="Arial" w:eastAsia="Times New Roman" w:cs="Arial"/>
      <w:sz w:val="20"/>
      <w:szCs w:val="20"/>
      <w:lang w:eastAsia="zh-CN"/>
    </w:rPr>
  </w:style>
  <w:style w:type="paragraph" w:styleId="afd" w:customStyle="1">
    <w:name w:val="Знак"/>
    <w:basedOn w:val="a"/>
    <w:pPr>
      <w:spacing w:before="280" w:after="280"/>
    </w:pPr>
    <w:rPr>
      <w:rFonts w:ascii="Tahoma" w:hAnsi="Tahoma" w:cs="Tahoma"/>
      <w:sz w:val="20"/>
      <w:szCs w:val="20"/>
      <w:lang w:val="en-US"/>
    </w:rPr>
  </w:style>
  <w:style w:type="paragraph" w:styleId="s1" w:customStyle="1">
    <w:name w:val="s_1"/>
    <w:basedOn w:val="a"/>
    <w:pPr>
      <w:ind w:firstLine="720"/>
      <w:jc w:val="both"/>
    </w:pPr>
    <w:rPr>
      <w:rFonts w:ascii="Arial" w:hAnsi="Arial" w:cs="Arial"/>
      <w:sz w:val="26"/>
      <w:szCs w:val="26"/>
    </w:rPr>
  </w:style>
  <w:style w:type="paragraph" w:styleId="15" w:customStyle="1">
    <w:name w:val="Схема документа1"/>
    <w:basedOn w:val="a"/>
    <w:rPr>
      <w:rFonts w:ascii="Tahoma" w:hAnsi="Tahoma" w:cs="Tahoma"/>
      <w:sz w:val="16"/>
      <w:szCs w:val="16"/>
    </w:rPr>
  </w:style>
  <w:style w:type="paragraph" w:styleId="afe" w:customStyle="1">
    <w:name w:val="Текст в заданном формате"/>
    <w:basedOn w:val="a"/>
    <w:pPr>
      <w:widowControl w:val="off"/>
    </w:pPr>
    <w:rPr>
      <w:rFonts w:ascii="Liberation Mono" w:hAnsi="Liberation Mono" w:eastAsia="Droid Sans Fallback" w:cs="Liberation Mono"/>
      <w:sz w:val="20"/>
      <w:szCs w:val="20"/>
      <w:lang w:eastAsia="zh-CN" w:bidi="hi-IN"/>
    </w:rPr>
  </w:style>
  <w:style w:type="paragraph" w:styleId="16" w:customStyle="1">
    <w:name w:val="Без интервала1"/>
    <w:pPr>
      <w:spacing w:after="0" w:line="240" w:lineRule="auto"/>
    </w:pPr>
    <w:rPr>
      <w:rFonts w:ascii="Calibri" w:hAnsi="Calibri" w:eastAsia="Times New Roman" w:cs="Calibri"/>
      <w:lang w:eastAsia="zh-CN"/>
    </w:rPr>
  </w:style>
  <w:style w:type="paragraph" w:styleId="a5">
    <w:name w:val="Subtitle"/>
    <w:basedOn w:val="a"/>
    <w:next w:val="ae"/>
    <w:link w:val="17"/>
    <w:qFormat/>
    <w:pPr>
      <w:jc w:val="center"/>
    </w:pPr>
    <w:rPr>
      <w:b/>
      <w:szCs w:val="20"/>
    </w:rPr>
  </w:style>
  <w:style w:type="character" w:styleId="17" w:customStyle="1">
    <w:name w:val="Подзаголовок Знак1"/>
    <w:basedOn w:val="a0"/>
    <w:link w:val="a5"/>
    <w:rPr>
      <w:rFonts w:ascii="Times New Roman" w:hAnsi="Times New Roman" w:eastAsia="Times New Roman" w:cs="Times New Roman"/>
      <w:b/>
      <w:sz w:val="24"/>
      <w:szCs w:val="20"/>
      <w:lang w:eastAsia="ru-RU"/>
    </w:rPr>
  </w:style>
  <w:style w:type="paragraph" w:styleId="a8">
    <w:name w:val="footnote text"/>
    <w:basedOn w:val="a"/>
    <w:link w:val="18"/>
    <w:rPr>
      <w:sz w:val="20"/>
      <w:szCs w:val="20"/>
    </w:rPr>
  </w:style>
  <w:style w:type="character" w:styleId="18" w:customStyle="1">
    <w:name w:val="Текст сноски Знак1"/>
    <w:basedOn w:val="a0"/>
    <w:link w:val="a8"/>
    <w:rPr>
      <w:rFonts w:ascii="Times New Roman" w:hAnsi="Times New Roman" w:eastAsia="Times New Roman" w:cs="Times New Roman"/>
      <w:sz w:val="20"/>
      <w:szCs w:val="20"/>
      <w:lang w:eastAsia="ru-RU"/>
    </w:rPr>
  </w:style>
  <w:style w:type="paragraph" w:styleId="Header" w:customStyle="1">
    <w:name w:val="Header"/>
    <w:basedOn w:val="a"/>
    <w:link w:val="aff"/>
    <w:uiPriority w:val="99"/>
    <w:unhideWhenUsed/>
    <w:pPr>
      <w:tabs>
        <w:tab w:val="center" w:pos="4677"/>
        <w:tab w:val="right" w:pos="9355"/>
      </w:tabs>
    </w:pPr>
  </w:style>
  <w:style w:type="character" w:styleId="aff" w:customStyle="1">
    <w:name w:val="Верхний колонтитул Знак"/>
    <w:basedOn w:val="a0"/>
    <w:link w:val="Header"/>
    <w:uiPriority w:val="99"/>
    <w:rPr>
      <w:rFonts w:ascii="Times New Roman" w:hAnsi="Times New Roman" w:eastAsia="Times New Roman" w:cs="Times New Roman"/>
      <w:sz w:val="24"/>
      <w:szCs w:val="24"/>
      <w:lang w:eastAsia="ru-RU"/>
    </w:rPr>
  </w:style>
  <w:style w:type="paragraph" w:styleId="Footer" w:customStyle="1">
    <w:name w:val="Footer"/>
    <w:basedOn w:val="a"/>
    <w:link w:val="aff0"/>
    <w:uiPriority w:val="99"/>
    <w:unhideWhenUsed/>
    <w:pPr>
      <w:tabs>
        <w:tab w:val="center" w:pos="4677"/>
        <w:tab w:val="right" w:pos="9355"/>
      </w:tabs>
    </w:pPr>
  </w:style>
  <w:style w:type="character" w:styleId="aff0" w:customStyle="1">
    <w:name w:val="Нижний колонтитул Знак"/>
    <w:basedOn w:val="a0"/>
    <w:link w:val="Footer"/>
    <w:uiPriority w:val="99"/>
    <w:rPr>
      <w:rFonts w:ascii="Times New Roman" w:hAnsi="Times New Roman" w:eastAsia="Times New Roman" w:cs="Times New Roman"/>
      <w:sz w:val="24"/>
      <w:szCs w:val="24"/>
      <w:lang w:eastAsia="ru-RU"/>
    </w:rPr>
  </w:style>
  <w:style w:type="character" w:styleId="aff1">
    <w:name w:val="page number"/>
    <w:basedOn w:val="a0"/>
    <w:uiPriority w:val="99"/>
    <w:semiHidden/>
    <w:unhideWhenUsed/>
  </w:style>
  <w:style w:type="character" w:styleId="aff2">
    <w:name w:val="annotation reference"/>
    <w:uiPriority w:val="99"/>
    <w:semiHidden/>
    <w:unhideWhenUsed/>
    <w:rPr>
      <w:sz w:val="16"/>
      <w:szCs w:val="16"/>
    </w:rPr>
  </w:style>
  <w:style w:type="paragraph" w:styleId="aff3">
    <w:name w:val="annotation text"/>
    <w:basedOn w:val="a"/>
    <w:link w:val="aff4"/>
    <w:uiPriority w:val="99"/>
    <w:unhideWhenUsed/>
    <w:rPr>
      <w:sz w:val="20"/>
      <w:szCs w:val="20"/>
    </w:rPr>
  </w:style>
  <w:style w:type="character" w:styleId="aff4" w:customStyle="1">
    <w:name w:val="Текст примечания Знак"/>
    <w:basedOn w:val="a0"/>
    <w:link w:val="aff3"/>
    <w:uiPriority w:val="99"/>
    <w:rPr>
      <w:rFonts w:ascii="Times New Roman" w:hAnsi="Times New Roman" w:eastAsia="Times New Roman" w:cs="Times New Roman"/>
      <w:sz w:val="20"/>
      <w:szCs w:val="20"/>
      <w:lang w:eastAsia="ru-RU"/>
    </w:rPr>
  </w:style>
  <w:style w:type="paragraph" w:styleId="aff5">
    <w:name w:val="annotation subject"/>
    <w:basedOn w:val="aff3"/>
    <w:next w:val="aff3"/>
    <w:link w:val="aff6"/>
    <w:uiPriority w:val="99"/>
    <w:semiHidden/>
    <w:unhideWhenUsed/>
    <w:rPr>
      <w:b/>
      <w:bCs/>
    </w:rPr>
  </w:style>
  <w:style w:type="character" w:styleId="aff6" w:customStyle="1">
    <w:name w:val="Тема примечания Знак"/>
    <w:basedOn w:val="aff4"/>
    <w:link w:val="aff5"/>
    <w:uiPriority w:val="99"/>
    <w:semiHidden/>
    <w:rPr>
      <w:rFonts w:ascii="Times New Roman" w:hAnsi="Times New Roman" w:eastAsia="Times New Roman" w:cs="Times New Roman"/>
      <w:b/>
      <w:bCs/>
      <w:sz w:val="20"/>
      <w:szCs w:val="20"/>
      <w:lang w:eastAsia="ru-RU"/>
    </w:rPr>
  </w:style>
  <w:style w:type="character" w:styleId="highlightsearch" w:customStyle="1">
    <w:name w:val="highlightsearch"/>
    <w:basedOn w:val="a0"/>
  </w:style>
  <w:style w:type="character" w:styleId="aff7">
    <w:name w:val="footnote reference"/>
    <w:uiPriority w:val="99"/>
    <w:semiHidden/>
    <w:unhideWhenUsed/>
    <w:rPr>
      <w:vertAlign w:val="superscript"/>
    </w:rPr>
  </w:style>
  <w:style w:type="character" w:styleId="aff8">
    <w:name w:val="Emphasis"/>
    <w:uiPriority w:val="20"/>
    <w:qFormat/>
    <w:rPr>
      <w:i/>
      <w:iCs/>
    </w:rPr>
  </w:style>
  <w:style w:type="table" w:styleId="aff9">
    <w:name w:val="Table Grid"/>
    <w:basedOn w:val="a1"/>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paragraph" w:styleId="constitle0" w:customStyle="1">
    <w:name w:val="constitle"/>
    <w:basedOn w:val="a"/>
    <w:pPr>
      <w:spacing w:before="100" w:beforeAutospacing="1" w:after="100" w:afterAutospacing="1"/>
    </w:pPr>
  </w:style>
  <w:style w:type="paragraph" w:styleId="FR2" w:customStyle="1">
    <w:name w:val="FR2"/>
    <w:pPr>
      <w:widowControl w:val="off"/>
      <w:spacing w:after="0" w:line="240" w:lineRule="auto"/>
      <w:jc w:val="center"/>
    </w:pPr>
    <w:rPr>
      <w:rFonts w:ascii="Courier New" w:hAnsi="Courier New" w:eastAsia="Times New Roman" w:cs="Courier New"/>
      <w:sz w:val="24"/>
      <w:szCs w:val="24"/>
      <w:lang w:eastAsia="ru-RU"/>
    </w:rPr>
  </w:style>
  <w:style w:type="character" w:styleId="-" w:customStyle="1">
    <w:name w:val="Интернет-ссылка"/>
    <w:rPr>
      <w:color w:val="000080"/>
      <w:u w:val="single"/>
    </w:rPr>
  </w:style>
  <w:style w:type="paragraph" w:styleId="formattext" w:customStyle="1">
    <w:name w:val="formattext"/>
    <w:qFormat/>
    <w:pPr>
      <w:widowControl w:val="off"/>
      <w:pBdr>
        <w:top w:val="none" w:color="000000" w:sz="4" w:space="0"/>
        <w:left w:val="none" w:color="000000" w:sz="4" w:space="0"/>
        <w:bottom w:val="none" w:color="000000" w:sz="4" w:space="0"/>
        <w:right w:val="none" w:color="000000" w:sz="4" w:space="0"/>
        <w:between w:val="none" w:color="000000" w:sz="4" w:space="0"/>
      </w:pBdr>
      <w:shd w:val="nil"/>
      <w:spacing w:before="280" w:after="280" w:line="240" w:lineRule="auto"/>
    </w:pPr>
    <w:rPr>
      <w:rFonts w:ascii="Times New Roman" w:hAnsi="Times New Roman" w:eastAsia="Times New Roman" w:cs="Times New Roman"/>
      <w:color w:val="000000"/>
      <w:sz w:val="24"/>
      <w:szCs w:val="24"/>
      <w:lang w:eastAsia="ru-RU"/>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customXml" Target="../customXml/item1.xml" /><Relationship Id="rId13" Type="http://schemas.openxmlformats.org/officeDocument/2006/relationships/image" Target="media/image1.png"/><Relationship Id="rId14" Type="http://schemas.openxmlformats.org/officeDocument/2006/relationships/hyperlink" Target="https://ivnya-r31.gosweb.gosuslugi.ru/" TargetMode="External"/><Relationship Id="rId15" Type="http://schemas.openxmlformats.org/officeDocument/2006/relationships/hyperlink" Target="consultantplus://offline/ref=1D4E32A31A176726FF77A9EFC32AC1AADF1A11E10915B9C2EAEB08B6420BA89D40859BD429157DACE57252E5F3UAyEH" TargetMode="External"/><Relationship Id="rId16" Type="http://schemas.openxmlformats.org/officeDocument/2006/relationships/hyperlink" Target="https://docs.cntd.ru/document/565415215" TargetMode="External"/><Relationship Id="rId17" Type="http://schemas.openxmlformats.org/officeDocument/2006/relationships/hyperlink" Target="consultantplus://offline/ref=1D4E32A31A176726FF77A9EFC32AC1AADF1A11E10915B9C2EAEB08B6420BA89D5285C3D8291066ADE36704B4B5FA87C24CDB8E14FED710BCUBy5H" TargetMode="External"/><Relationship Id="rId18" Type="http://schemas.openxmlformats.org/officeDocument/2006/relationships/hyperlink" Target="https://admivnya.gosuslugi.ru/ofitsialno/munitsipalnyy-kontrol/" TargetMode="External"/><Relationship Id="rId19" Type="http://schemas.openxmlformats.org/officeDocument/2006/relationships/hyperlink" Target="https://login.consultant.ru/link/?rnd=F0DAF462C3E10FD88800F682F109FDF6&amp;req=doc&amp;base=RZR&amp;n=386954&amp;dst=100547&amp;fld=134&amp;REFFIELD=134&amp;REFDST=100169&amp;REFDOC=389272&amp;REFBASE=RZR&amp;stat=refcode%3D16876%3Bdstident%3D100547%3Bindex%3D202&amp;date=15.07.2021" TargetMode="External"/><Relationship Id="rId20" Type="http://schemas.openxmlformats.org/officeDocument/2006/relationships/hyperlink" Target="https://login.consultant.ru/link/?req=doc&amp;base=LAW&amp;n=495001&amp;dst=101175" TargetMode="External"/><Relationship Id="rId21" Type="http://schemas.openxmlformats.org/officeDocument/2006/relationships/hyperlink" Target="https://login.consultant.ru/link/?req=doc&amp;base=RLAW072&amp;n=193519&amp;dst=100037" TargetMode="External"/><Relationship Id="rId22" Type="http://schemas.openxmlformats.org/officeDocument/2006/relationships/hyperlink" Target="https://login.consultant.ru/link/?req=doc&amp;base=LAW&amp;n=495001&amp;dst=101176" TargetMode="External"/><Relationship Id="rId23" Type="http://schemas.openxmlformats.org/officeDocument/2006/relationships/hyperlink" Target="https://login.consultant.ru/link/?rnd=208493C66BF8748DD99574B4BA3AE6E1&amp;req=doc&amp;base=LAW&amp;n=386954&amp;dst=100229&amp;fld=134&amp;date=09.07.2021&amp;demo=2" TargetMode="External"/><Relationship Id="rId24" Type="http://schemas.openxmlformats.org/officeDocument/2006/relationships/hyperlink" Target="https://login.consultant.ru/link/?rnd=208493C66BF8748DD99574B4BA3AE6E1&amp;req=doc&amp;base=LAW&amp;n=386954&amp;dst=100230&amp;fld=134&amp;date=09.07.2021&amp;demo=2" TargetMode="External"/><Relationship Id="rId25" Type="http://schemas.openxmlformats.org/officeDocument/2006/relationships/hyperlink" Target="https://www.consultant.ru/document/cons_doc_LAW_494826/3d0cac60971a511280cbba229d9b6329c07731f7/" TargetMode="External"/><Relationship Id="rId26" Type="http://schemas.openxmlformats.org/officeDocument/2006/relationships/hyperlink" Target="https://login.consultant.ru/link/?req=doc&amp;base=LAW&amp;n=495001&amp;dst=101410" TargetMode="External"/><Relationship Id="rId27" Type="http://schemas.openxmlformats.org/officeDocument/2006/relationships/hyperlink" Target="https://login.consultant.ru/link/?req=doc&amp;base=LAW&amp;n=495001&amp;dst=100637" TargetMode="External"/><Relationship Id="rId28" Type="http://schemas.openxmlformats.org/officeDocument/2006/relationships/hyperlink" Target="https://login.consultant.ru/link/?req=doc&amp;base=LAW&amp;n=495001&amp;dst=100639" TargetMode="External"/><Relationship Id="rId29" Type="http://schemas.openxmlformats.org/officeDocument/2006/relationships/hyperlink" Target="https://login.consultant.ru/link/?req=doc&amp;base=LAW&amp;n=495001&amp;dst=101412" TargetMode="External"/><Relationship Id="rId30" Type="http://schemas.openxmlformats.org/officeDocument/2006/relationships/hyperlink" Target="https://login.consultant.ru/link/?req=doc&amp;base=LAW&amp;n=495001&amp;dst=101175" TargetMode="External"/><Relationship Id="rId31" Type="http://schemas.openxmlformats.org/officeDocument/2006/relationships/hyperlink" Target="https://login.consultant.ru/link/?req=doc&amp;base=LAW&amp;n=495001&amp;dst=100747" TargetMode="External"/><Relationship Id="rId32" Type="http://schemas.openxmlformats.org/officeDocument/2006/relationships/hyperlink" Target="https://login.consultant.ru/link/?req=doc&amp;base=LAW&amp;n=495001&amp;dst=101410" TargetMode="External"/><Relationship Id="rId33" Type="http://schemas.openxmlformats.org/officeDocument/2006/relationships/hyperlink" Target="https://login.consultant.ru/link/?req=doc&amp;base=LAW&amp;n=495001&amp;dst=100637" TargetMode="External"/><Relationship Id="rId34" Type="http://schemas.openxmlformats.org/officeDocument/2006/relationships/hyperlink" Target="https://login.consultant.ru/link/?req=doc&amp;base=LAW&amp;n=495001&amp;dst=100639" TargetMode="External"/><Relationship Id="rId35" Type="http://schemas.openxmlformats.org/officeDocument/2006/relationships/hyperlink" Target="https://login.consultant.ru/link/?req=doc&amp;base=LAW&amp;n=495001&amp;dst=101412" TargetMode="External"/><Relationship Id="rId36" Type="http://schemas.openxmlformats.org/officeDocument/2006/relationships/hyperlink" Target="https://login.consultant.ru/link/?req=doc&amp;base=LAW&amp;n=495001&amp;dst=101410" TargetMode="External"/><Relationship Id="rId37" Type="http://schemas.openxmlformats.org/officeDocument/2006/relationships/hyperlink" Target="https://login.consultant.ru/link/?req=doc&amp;base=LAW&amp;n=495001&amp;dst=100637" TargetMode="External"/><Relationship Id="rId38" Type="http://schemas.openxmlformats.org/officeDocument/2006/relationships/hyperlink" Target="https://login.consultant.ru/link/?req=doc&amp;base=LAW&amp;n=495001&amp;dst=100639" TargetMode="External"/><Relationship Id="rId39" Type="http://schemas.openxmlformats.org/officeDocument/2006/relationships/hyperlink" Target="https://login.consultant.ru/link/?req=doc&amp;base=LAW&amp;n=495001&amp;dst=101412" TargetMode="External"/><Relationship Id="rId40" Type="http://schemas.openxmlformats.org/officeDocument/2006/relationships/hyperlink" Target="https://login.consultant.ru/link/?req=doc&amp;base=LAW&amp;n=495001&amp;dst=101175" TargetMode="External"/><Relationship Id="rId41" Type="http://schemas.openxmlformats.org/officeDocument/2006/relationships/hyperlink" Target="https://login.consultant.ru/link/?req=doc&amp;base=LAW&amp;n=495001&amp;dst=101187" TargetMode="External"/><Relationship Id="rId42" Type="http://schemas.openxmlformats.org/officeDocument/2006/relationships/hyperlink" Target="https://login.consultant.ru/link/?req=doc&amp;base=LAW&amp;n=495001&amp;dst=9" TargetMode="External"/><Relationship Id="rId43" Type="http://schemas.openxmlformats.org/officeDocument/2006/relationships/hyperlink" Target="consultantplus://offline/ref=9973AF9809BF6FD7C6FA1DCB1E3BFC325CA72E64D6D0187C48E7D1D092BB72F1061FA5639DFA6EBAFE80ED108EC9F0C63D63A127D42BC0FBZ6nEJ" TargetMode="External"/><Relationship Id="rId44" Type="http://schemas.openxmlformats.org/officeDocument/2006/relationships/hyperlink" Target="https://www.consultant.ru/document/cons_doc_LAW_494826/3d0cac60971a511280cbba229d9b6329c07731f7/" TargetMode="External"/><Relationship Id="rId45" Type="http://schemas.openxmlformats.org/officeDocument/2006/relationships/hyperlink" Target="https://login.consultant.ru/link/?rnd=DD4C46D5562F181F7F5E33570EFA9753&amp;req=doc&amp;base=RZR&amp;n=386954&amp;dst=100423&amp;fld=134&amp;date=23.07.2021" TargetMode="External"/><Relationship Id="rId46" Type="http://schemas.openxmlformats.org/officeDocument/2006/relationships/hyperlink" Target="https://login.consultant.ru/link/?rnd=DD4C46D5562F181F7F5E33570EFA9753&amp;req=doc&amp;base=RZR&amp;n=386954&amp;dst=100468&amp;fld=134&amp;date=23.07.2021"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AC61D-E352-4121-95A0-E1DAEA230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Р7-Офис/2024.4.2.721</Application>
  <Characters>50809</Characters>
  <CharactersWithSpaces>59603</CharactersWithSpaces>
  <Company>RePack by SPecialiST</Company>
  <DocSecurity>0</DocSecurity>
  <HyperlinksChanged>false</HyperlinksChanged>
  <Lines>423</Lines>
  <LinksUpToDate>false</LinksUpToDate>
  <Pages>21</Pages>
  <Paragraphs>119</Paragraphs>
  <ScaleCrop>false</ScaleCrop>
  <SharedDoc>false</SharedDoc>
  <Template>Normal</Template>
  <TotalTime>0</TotalTime>
  <Words>8913</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2025-03-17T07:21:00Z</dcterms:created>
  <dcterms:modified xsi:type="dcterms:W3CDTF">2025-03-17T08:41:00Z</dcterms:modified>
</cp:coreProperties>
</file>