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подача документов в органы власти –                             2 чел./час.;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1.2.Частота:</w:t>
      </w: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57191,4 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1.4.Средняя стоимость часа: </w:t>
      </w:r>
      <w:r>
        <w:rPr>
          <w:rFonts w:cs="Times New Roman" w:ascii="Times New Roman" w:hAnsi="Times New Roman"/>
          <w:sz w:val="28"/>
          <w:szCs w:val="28"/>
        </w:rPr>
        <w:t>340,4 рублей;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57191,4 /</w:t>
      </w:r>
      <w:r>
        <w:rPr>
          <w:rFonts w:cs="Times New Roman" w:ascii="Times New Roman" w:hAnsi="Times New Roman"/>
          <w:sz w:val="28"/>
          <w:szCs w:val="28"/>
        </w:rPr>
        <w:t>21день</w:t>
      </w:r>
      <w:r>
        <w:rPr>
          <w:rFonts w:cs="Times New Roman" w:ascii="Times New Roman" w:hAnsi="Times New Roman"/>
          <w:sz w:val="28"/>
          <w:szCs w:val="28"/>
        </w:rPr>
        <w:t>/8часов</w:t>
      </w:r>
    </w:p>
    <w:p>
      <w:pPr>
        <w:pStyle w:val="Style71"/>
        <w:spacing w:lineRule="auto" w:line="240" w:before="0" w:after="0"/>
        <w:ind w:right="-87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количество освобожденных трудоустроенных лиц, освободившихся из мест лишения свободы – 8</w:t>
      </w:r>
      <w:bookmarkStart w:id="0" w:name="_GoBack"/>
      <w:bookmarkEnd w:id="0"/>
      <w:r>
        <w:rPr>
          <w:sz w:val="28"/>
          <w:szCs w:val="28"/>
        </w:rPr>
        <w:t>.</w:t>
      </w:r>
    </w:p>
    <w:p>
      <w:pPr>
        <w:pStyle w:val="Style71"/>
        <w:spacing w:lineRule="auto" w:line="240" w:before="0" w:after="0"/>
        <w:ind w:right="-87" w:hanging="0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b/>
          <w:i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>446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8</w:t>
      </w:r>
      <w:r>
        <w:rPr>
          <w:rFonts w:cs="Times New Roman" w:ascii="Times New Roman" w:hAnsi="Times New Roman"/>
          <w:sz w:val="28"/>
          <w:szCs w:val="28"/>
        </w:rPr>
        <w:t> рублей;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>2*1*340,4*8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b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Общая стоимость расчёта стандартных из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держек:</w:t>
      </w:r>
      <w:r>
        <w:rPr>
          <w:rFonts w:cs="Times New Roman"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5 446,4 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рублей.</w:t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Style9" w:customStyle="1">
    <w:name w:val="Нижний колонтитул Знак"/>
    <w:uiPriority w:val="99"/>
    <w:qFormat/>
    <w:rPr/>
  </w:style>
  <w:style w:type="character" w:styleId="-">
    <w:name w:val="Hyperlink"/>
    <w:uiPriority w:val="99"/>
    <w:unhideWhenUsed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Pr>
      <w:sz w:val="18"/>
    </w:rPr>
  </w:style>
  <w:style w:type="character" w:styleId="Style11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Pr>
      <w:sz w:val="20"/>
    </w:rPr>
  </w:style>
  <w:style w:type="character" w:styleId="Style14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15">
    <w:name w:val="Endnote Reference"/>
    <w:rPr>
      <w:vertAlign w:val="superscript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8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9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6">
    <w:name w:val="Footnote Text"/>
    <w:basedOn w:val="Normal"/>
    <w:link w:val="Style10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7">
    <w:name w:val="Endnote Text"/>
    <w:basedOn w:val="Normal"/>
    <w:link w:val="Style13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8">
    <w:name w:val="Index Heading"/>
    <w:basedOn w:val="Style16"/>
    <w:pPr/>
    <w:rPr/>
  </w:style>
  <w:style w:type="paragraph" w:styleId="Style29">
    <w:name w:val="TOC Heading"/>
    <w:uiPriority w:val="39"/>
    <w:unhideWhenUsed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pPr>
      <w:widowControl/>
      <w:pBdr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Application>LibreOffice/7.5.6.2$Linux_X86_64 LibreOffice_project/50$Build-2</Application>
  <AppVersion>15.0000</AppVersion>
  <Pages>1</Pages>
  <Words>68</Words>
  <Characters>538</Characters>
  <CharactersWithSpaces>643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2022-08-17T07:39:00Z</dcterms:created>
  <dc:creator>Липчанская</dc:creator>
  <dc:description/>
  <dc:language>ru-RU</dc:language>
  <cp:lastModifiedBy/>
  <cp:lastPrinted>2022-08-17T06:31:00Z</cp:lastPrinted>
  <dcterms:modified xsi:type="dcterms:W3CDTF">2025-01-23T16:17:03Z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