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af6"/>
        <w:tblW w:w="0" w:type="auto"/>
        <w:tblInd w:w="35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6237"/>
      </w:tblGrid>
      <w:tr>
        <w:tc>
          <w:tcPr>
            <w:tcW w:w="6237" w:type="dxa"/>
          </w:tcPr>
          <w:p>
            <w:pPr>
              <w:pStyle w:val="ConsPlusNormal"/>
              <w:jc w:val="right"/>
              <w:outlineLvl w:val="1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Приложение № 1</w:t>
            </w:r>
          </w:p>
        </w:tc>
      </w:tr>
    </w:tbl>
    <w:p>
      <w:pPr>
        <w:pStyle w:val="ConsPlusNormal"/>
        <w:jc w:val="right"/>
        <w:outlineLvl w:val="1"/>
        <w:rPr>
          <w:rFonts w:ascii="Times New Roman" w:hAnsi="Times New Roman" w:cs="Times New Roman"/>
          <w:sz w:val="12"/>
          <w:szCs w:val="28"/>
        </w:rPr>
      </w:pP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592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Бизнес-план</w:t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«Наименование проекта»</w:t>
      </w:r>
    </w:p>
    <w:p>
      <w:pPr>
        <w:pStyle w:val="ConsPlusNonformat"/>
        <w:jc w:val="both"/>
        <w:rPr>
          <w:rFonts w:ascii="Times New Roman" w:hAnsi="Times New Roman" w:cs="Times New Roman"/>
          <w:sz w:val="10"/>
          <w:szCs w:val="28"/>
        </w:rPr>
      </w:pPr>
    </w:p>
    <w:p>
      <w:pPr>
        <w:pStyle w:val="ConsPlusNonformat"/>
        <w:jc w:val="both"/>
        <w:rPr>
          <w:rFonts w:ascii="Times New Roman" w:hAnsi="Times New Roman" w:cs="Times New Roman"/>
          <w:sz w:val="10"/>
          <w:szCs w:val="28"/>
        </w:rPr>
      </w:pPr>
    </w:p>
    <w:p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Инициатор проекта:</w:t>
      </w:r>
    </w:p>
    <w:p>
      <w:pPr>
        <w:pStyle w:val="ConsPlusNonformat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"/>
          <w:szCs w:val="28"/>
        </w:rPr>
      </w:pP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(указывается год начала реализации проекта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(год приобретения оборудования))</w:t>
      </w:r>
    </w:p>
    <w:p>
      <w:pPr>
        <w:pStyle w:val="ConsPlusNonformat"/>
        <w:jc w:val="center"/>
        <w:rPr>
          <w:rFonts w:ascii="Times New Roman" w:hAnsi="Times New Roman" w:cs="Times New Roman"/>
          <w:sz w:val="12"/>
          <w:szCs w:val="28"/>
        </w:rPr>
      </w:pP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РЕЗЮМЕ ПРОЕКТА</w:t>
      </w:r>
    </w:p>
    <w:p>
      <w:pPr>
        <w:pStyle w:val="ConsPlusNonformat"/>
        <w:jc w:val="both"/>
        <w:rPr>
          <w:rFonts w:ascii="Times New Roman" w:hAnsi="Times New Roman" w:cs="Times New Roman"/>
          <w:sz w:val="16"/>
          <w:szCs w:val="28"/>
        </w:rPr>
      </w:pPr>
    </w:p>
    <w:p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Инициатором и исполнителем проекта является ООО «___________»,  (АО «_________», ИП). ООО «________» (АО «______», ИП) зарегистрировано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</w:t>
      </w:r>
      <w:r>
        <w:rPr>
          <w:rFonts w:ascii="Times New Roman" w:hAnsi="Times New Roman" w:cs="Times New Roman"/>
          <w:sz w:val="28"/>
          <w:szCs w:val="28"/>
        </w:rPr>
        <w:t xml:space="preserve">зарегистрирован</w:t>
      </w:r>
      <w:r>
        <w:rPr>
          <w:rFonts w:ascii="Times New Roman" w:hAnsi="Times New Roman" w:cs="Times New Roman"/>
          <w:sz w:val="28"/>
          <w:szCs w:val="28"/>
        </w:rPr>
        <w:t xml:space="preserve">) в качестве общества с ограниченной ответственностью</w:t>
      </w:r>
      <w:r>
        <w:rPr>
          <w:rFonts w:ascii="Times New Roman" w:hAnsi="Times New Roman" w:cs="Times New Roman"/>
          <w:sz w:val="28"/>
          <w:szCs w:val="28"/>
        </w:rPr>
        <w:br/>
        <w:t xml:space="preserve">(акционерного общества, индивидуального предпринимателя) ______________в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8"/>
        </w:rPr>
        <w:t xml:space="preserve">(дата регистрации)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___________________________________________________________________.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(наименование инспекции ФНС России)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ИНН _______________________________________________________________.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ОГРН _______________________________________________________________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Юридический адрес: 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Фактический адрес (адрес реализации проекта): __________________________.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Контактный телефон: 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почты: ____________________________________________.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 деятельности по </w:t>
      </w:r>
      <w:hyperlink r:id="rId9" w:tooltip="https://login.consultant.ru/link/?req=doc&amp;base=LAW&amp;n=486289" w:history="1">
        <w:r>
          <w:rPr>
            <w:rFonts w:ascii="Times New Roman" w:hAnsi="Times New Roman" w:cs="Times New Roman"/>
            <w:sz w:val="28"/>
            <w:szCs w:val="28"/>
          </w:rPr>
          <w:t xml:space="preserve">ОКВЭД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(основной): ________________________________.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 деятельности, по которому реализуется проект:_______________________.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реализации проекта (включает годы приобретения оборудования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и исполнения взятых обязательств): 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емп роста дохода на одного работника на уровне не менее </w:t>
      </w:r>
      <w:r>
        <w:rPr>
          <w:rFonts w:ascii="Times New Roman" w:hAnsi="Times New Roman" w:cs="Times New Roman"/>
          <w:sz w:val="28"/>
          <w:szCs w:val="28"/>
        </w:rPr>
        <w:br/>
        <w:t xml:space="preserve">116,6 процента по истечении квартала, следующего за кварталом заключения соглашения, к уровню дохода на одного работника по итогам квартала, </w:t>
      </w:r>
      <w:r>
        <w:rPr>
          <w:rFonts w:ascii="Times New Roman" w:hAnsi="Times New Roman" w:cs="Times New Roman"/>
          <w:sz w:val="28"/>
          <w:szCs w:val="28"/>
        </w:rPr>
        <w:br/>
        <w:t xml:space="preserve">в котором заключено соглашение: _____________________ процентов.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Увеличение среднесписочной численности работников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по итогам квартала, следующего за кварталом заключения соглашения,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составит ______________человек.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Темп роста налоговых отчислений в бюджеты всех уровней, осуществленных по итогам 2025 года, к налоговым отчислениям в бюджеты всех уровней, осуществленным по итогам 2024 года: ____________ процентов.</w:t>
      </w:r>
    </w:p>
    <w:p>
      <w:pPr>
        <w:pStyle w:val="ConsPlusNonformat"/>
        <w:jc w:val="both"/>
        <w:rPr>
          <w:rFonts w:ascii="Times New Roman" w:hAnsi="Times New Roman" w:cs="Times New Roman"/>
          <w:sz w:val="12"/>
          <w:szCs w:val="20"/>
        </w:rPr>
      </w:pP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ФИНАНСОВАЯ СТРУКТУРА ПРОЕКТА</w:t>
      </w:r>
    </w:p>
    <w:p>
      <w:pPr>
        <w:pStyle w:val="ConsPlusNonformat"/>
        <w:jc w:val="both"/>
        <w:rPr>
          <w:rFonts w:ascii="Times New Roman" w:hAnsi="Times New Roman" w:cs="Times New Roman"/>
          <w:sz w:val="10"/>
          <w:szCs w:val="18"/>
        </w:rPr>
      </w:pP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Финансовый план составлен на ___ лет.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Расчеты выполнены в российской валюте, в постоянных ценах, принимаемых на момент формирования бизнес-плана и соответствующего налогового окружения.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Источники финансирования проекта: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проекта планируется за счет (собственных средств, кредитных ресурсов и т.д.):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______________________ в размере________________________ тыс. рублей;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______________________ в размере________________________ тыс. рублей.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ОПИСАНИЕ ПРОЕКТА.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СОЦИАЛЬНАЯ ЭФФЕКТИВНОСТЬ ПРОЕКТА</w:t>
      </w:r>
    </w:p>
    <w:p>
      <w:pPr>
        <w:pStyle w:val="ConsPlusNonformat"/>
        <w:jc w:val="both"/>
        <w:rPr>
          <w:rFonts w:ascii="Times New Roman" w:hAnsi="Times New Roman" w:cs="Times New Roman"/>
          <w:sz w:val="14"/>
          <w:szCs w:val="28"/>
        </w:rPr>
      </w:pP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Описание проекта: 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</w:t>
      </w:r>
    </w:p>
    <w:p>
      <w:pPr>
        <w:pStyle w:val="ConsPlusNormal"/>
        <w:jc w:val="both"/>
        <w:rPr>
          <w:rFonts w:ascii="Times New Roman" w:hAnsi="Times New Roman" w:cs="Times New Roman"/>
          <w:sz w:val="14"/>
          <w:szCs w:val="28"/>
        </w:rPr>
      </w:pPr>
    </w:p>
    <w:p>
      <w:pPr>
        <w:pStyle w:val="ConsPlusNormal"/>
        <w:jc w:val="right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Таблица 3.1</w:t>
      </w:r>
    </w:p>
    <w:p>
      <w:pPr>
        <w:pStyle w:val="ConsPlusNormal"/>
        <w:jc w:val="both"/>
        <w:rPr>
          <w:rFonts w:ascii="Times New Roman" w:hAnsi="Times New Roman" w:cs="Times New Roman"/>
          <w:sz w:val="12"/>
          <w:szCs w:val="28"/>
        </w:rPr>
      </w:pPr>
    </w:p>
    <w:p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Ассортимент производимой продукции/оказываемых услуг</w:t>
      </w:r>
    </w:p>
    <w:p>
      <w:pPr>
        <w:pStyle w:val="ConsPlusNormal"/>
        <w:jc w:val="both"/>
        <w:rPr>
          <w:rFonts w:ascii="Times New Roman" w:hAnsi="Times New Roman" w:cs="Times New Roman"/>
          <w:sz w:val="16"/>
          <w:szCs w:val="28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024"/>
        <w:gridCol w:w="4677"/>
      </w:tblGrid>
      <w:tr>
        <w:trPr>
          <w:tblHeader/>
        </w:trPr>
        <w:tc>
          <w:tcPr>
            <w:tcW w:w="5024" w:type="dxa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Наименование</w:t>
            </w:r>
          </w:p>
        </w:tc>
        <w:tc>
          <w:tcPr>
            <w:tcW w:w="4677" w:type="dxa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Цена реализации за ед., руб.</w:t>
            </w:r>
          </w:p>
        </w:tc>
      </w:tr>
      <w:tr>
        <w:tc>
          <w:tcPr>
            <w:tcW w:w="5024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77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c>
          <w:tcPr>
            <w:tcW w:w="5024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677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>
        <w:trPr>
          <w:trHeight w:val="276"/>
        </w:trPr>
        <w:tc>
          <w:tcPr>
            <w:tcW w:w="5024" w:type="dxa"/>
            <w:vMerge w:val="restart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677" w:type="dxa"/>
            <w:vMerge w:val="restart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>
      <w:pPr>
        <w:pStyle w:val="ConsPlusNormal"/>
        <w:jc w:val="center"/>
        <w:outlineLvl w:val="2"/>
        <w:rPr>
          <w:rFonts w:ascii="Times New Roman" w:hAnsi="Times New Roman" w:cs="Times New Roman"/>
          <w:sz w:val="18"/>
          <w:szCs w:val="28"/>
        </w:rPr>
      </w:pPr>
    </w:p>
    <w:p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НАЛОГОВОЕ ОКРУЖЕНИЕ ПРОЕКТА</w:t>
      </w:r>
    </w:p>
    <w:p>
      <w:pPr>
        <w:pStyle w:val="ConsPlusNormal"/>
        <w:jc w:val="both"/>
        <w:rPr>
          <w:rFonts w:ascii="Times New Roman" w:hAnsi="Times New Roman" w:cs="Times New Roman"/>
          <w:sz w:val="12"/>
          <w:szCs w:val="28"/>
        </w:rPr>
      </w:pPr>
    </w:p>
    <w:p>
      <w:pPr>
        <w:pStyle w:val="ConsPlusNormal"/>
        <w:jc w:val="right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Таблица 4.1</w:t>
      </w:r>
    </w:p>
    <w:p>
      <w:pPr>
        <w:pStyle w:val="ConsPlusNormal"/>
        <w:jc w:val="both"/>
        <w:rPr>
          <w:rFonts w:ascii="Times New Roman" w:hAnsi="Times New Roman" w:cs="Times New Roman"/>
          <w:sz w:val="14"/>
          <w:szCs w:val="28"/>
        </w:rPr>
      </w:pPr>
    </w:p>
    <w:p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679"/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t xml:space="preserve">Налоговые отчисления в бюджеты всех уровней, рублей</w:t>
      </w:r>
    </w:p>
    <w:p>
      <w:pPr>
        <w:pStyle w:val="ConsPlusNormal"/>
        <w:jc w:val="both"/>
        <w:rPr>
          <w:rFonts w:ascii="Times New Roman" w:hAnsi="Times New Roman" w:cs="Times New Roman"/>
          <w:sz w:val="14"/>
          <w:szCs w:val="28"/>
        </w:rPr>
      </w:pPr>
    </w:p>
    <w:tbl>
      <w:tblPr>
        <w:tblW w:w="97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68"/>
        <w:gridCol w:w="3322"/>
        <w:gridCol w:w="992"/>
        <w:gridCol w:w="992"/>
        <w:gridCol w:w="992"/>
        <w:gridCol w:w="851"/>
        <w:gridCol w:w="1984"/>
      </w:tblGrid>
      <w:tr>
        <w:tc>
          <w:tcPr>
            <w:tcW w:w="568" w:type="dxa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/п</w:t>
            </w:r>
          </w:p>
        </w:tc>
        <w:tc>
          <w:tcPr>
            <w:tcW w:w="3322" w:type="dxa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налогов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 отчислений в бюджеты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 внебюджетные фонды</w:t>
            </w:r>
          </w:p>
        </w:tc>
        <w:tc>
          <w:tcPr>
            <w:tcW w:w="992" w:type="dxa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2023 год</w:t>
            </w:r>
          </w:p>
        </w:tc>
        <w:tc>
          <w:tcPr>
            <w:tcW w:w="992" w:type="dxa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2024 год</w:t>
            </w:r>
          </w:p>
        </w:tc>
        <w:tc>
          <w:tcPr>
            <w:tcW w:w="992" w:type="dxa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2025 год</w:t>
            </w:r>
          </w:p>
        </w:tc>
        <w:tc>
          <w:tcPr>
            <w:tcW w:w="851" w:type="dxa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2026 год</w:t>
            </w:r>
          </w:p>
        </w:tc>
        <w:tc>
          <w:tcPr>
            <w:tcW w:w="198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Темп роста, %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(2025/2024*100%)</w:t>
            </w:r>
          </w:p>
        </w:tc>
      </w:tr>
      <w:tr>
        <w:tc>
          <w:tcPr>
            <w:tcW w:w="568" w:type="dxa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</w:p>
        </w:tc>
        <w:tc>
          <w:tcPr>
            <w:tcW w:w="3322" w:type="dxa"/>
            <w:vAlign w:val="cente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Налог на прибыль организаций (20%)</w:t>
            </w: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</w:p>
        </w:tc>
      </w:tr>
      <w:tr>
        <w:tc>
          <w:tcPr>
            <w:tcW w:w="568" w:type="dxa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</w:p>
        </w:tc>
        <w:tc>
          <w:tcPr>
            <w:tcW w:w="3322" w:type="dxa"/>
            <w:vAlign w:val="cente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Упрощенная система налогообложения (доходы 6%; доходы-расходы 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7%, 15%)</w:t>
            </w: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</w:p>
        </w:tc>
      </w:tr>
      <w:tr>
        <w:tc>
          <w:tcPr>
            <w:tcW w:w="568" w:type="dxa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</w:p>
        </w:tc>
        <w:tc>
          <w:tcPr>
            <w:tcW w:w="3322" w:type="dxa"/>
            <w:vAlign w:val="cente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Единый сельскохозяйственный налог</w:t>
            </w: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</w:p>
        </w:tc>
      </w:tr>
      <w:tr>
        <w:tc>
          <w:tcPr>
            <w:tcW w:w="568" w:type="dxa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</w:p>
        </w:tc>
        <w:tc>
          <w:tcPr>
            <w:tcW w:w="3322" w:type="dxa"/>
            <w:vAlign w:val="cente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</w:t>
            </w: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</w:p>
        </w:tc>
      </w:tr>
      <w:tr>
        <w:tc>
          <w:tcPr>
            <w:tcW w:w="568" w:type="dxa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</w:p>
        </w:tc>
        <w:tc>
          <w:tcPr>
            <w:tcW w:w="3322" w:type="dxa"/>
            <w:vAlign w:val="cente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Транспортный налог</w:t>
            </w: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</w:p>
        </w:tc>
      </w:tr>
      <w:tr>
        <w:tc>
          <w:tcPr>
            <w:tcW w:w="568" w:type="dxa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</w:p>
        </w:tc>
        <w:tc>
          <w:tcPr>
            <w:tcW w:w="3322" w:type="dxa"/>
            <w:vAlign w:val="cente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Налог на имущество</w:t>
            </w: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</w:p>
        </w:tc>
      </w:tr>
      <w:tr>
        <w:tc>
          <w:tcPr>
            <w:tcW w:w="568" w:type="dxa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</w:p>
        </w:tc>
        <w:tc>
          <w:tcPr>
            <w:tcW w:w="3322" w:type="dxa"/>
            <w:vAlign w:val="cente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добавленную стоимость</w:t>
            </w: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</w:p>
        </w:tc>
      </w:tr>
      <w:tr>
        <w:tc>
          <w:tcPr>
            <w:tcW w:w="568" w:type="dxa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</w:p>
        </w:tc>
        <w:tc>
          <w:tcPr>
            <w:tcW w:w="3322" w:type="dxa"/>
            <w:vAlign w:val="cente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фонд России</w:t>
            </w: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</w:p>
        </w:tc>
      </w:tr>
      <w:tr>
        <w:tc>
          <w:tcPr>
            <w:tcW w:w="568" w:type="dxa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</w:p>
        </w:tc>
        <w:tc>
          <w:tcPr>
            <w:tcW w:w="3322" w:type="dxa"/>
            <w:vAlign w:val="cente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</w:t>
            </w: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</w:p>
        </w:tc>
      </w:tr>
      <w:tr>
        <w:tc>
          <w:tcPr>
            <w:tcW w:w="568" w:type="dxa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</w:p>
        </w:tc>
        <w:tc>
          <w:tcPr>
            <w:tcW w:w="3322" w:type="dxa"/>
            <w:vAlign w:val="cente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</w:t>
            </w: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ОЦЕНКА ПРОЕКТНЫХ РИСКОВ</w:t>
      </w:r>
    </w:p>
    <w:p>
      <w:pPr>
        <w:pStyle w:val="ConsPlusNormal"/>
        <w:jc w:val="both"/>
        <w:rPr>
          <w:rFonts w:ascii="Times New Roman" w:hAnsi="Times New Roman" w:cs="Times New Roman"/>
          <w:sz w:val="8"/>
          <w:szCs w:val="28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проект подвержен следующим рискам: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увеличение срока инвестиционной стадии проекта, увеличение объемов первоначальных вложений;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снижение потребности на рынке, высокая конкуренция, погодные условия;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изменение рыночных цен.</w:t>
      </w:r>
    </w:p>
    <w:p>
      <w:pPr>
        <w:pStyle w:val="ConsPlusNormal"/>
        <w:jc w:val="right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Таблица 5.1</w:t>
      </w:r>
    </w:p>
    <w:p>
      <w:pPr>
        <w:pStyle w:val="ConsPlusNormal"/>
        <w:jc w:val="center"/>
        <w:rPr>
          <w:rFonts w:ascii="Times New Roman" w:hAnsi="Times New Roman" w:cs="Times New Roman"/>
          <w:sz w:val="4"/>
          <w:szCs w:val="28"/>
        </w:rPr>
      </w:pPr>
    </w:p>
    <w:p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Риски проекта</w:t>
      </w:r>
    </w:p>
    <w:p>
      <w:pPr>
        <w:pStyle w:val="ConsPlusNormal"/>
        <w:jc w:val="both"/>
        <w:rPr>
          <w:rFonts w:ascii="Times New Roman" w:hAnsi="Times New Roman" w:cs="Times New Roman"/>
          <w:sz w:val="10"/>
          <w:szCs w:val="28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722"/>
        <w:gridCol w:w="1286"/>
        <w:gridCol w:w="1276"/>
        <w:gridCol w:w="1417"/>
      </w:tblGrid>
      <w:tr>
        <w:tc>
          <w:tcPr>
            <w:tcW w:w="5722" w:type="dxa"/>
            <w:vMerge w:val="restart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Вид риска</w:t>
            </w:r>
          </w:p>
        </w:tc>
        <w:tc>
          <w:tcPr>
            <w:tcW w:w="3979" w:type="dxa"/>
            <w:gridSpan w:val="3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Степень риска</w:t>
            </w:r>
          </w:p>
        </w:tc>
      </w:tr>
      <w:tr>
        <w:tc>
          <w:tcPr>
            <w:tcW w:w="5722" w:type="dxa"/>
            <w:vMerge w:val="continue"/>
          </w:tcPr>
          <w:p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286" w:type="dxa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Высокая</w:t>
            </w:r>
          </w:p>
        </w:tc>
        <w:tc>
          <w:tcPr>
            <w:tcW w:w="1276" w:type="dxa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Средняя</w:t>
            </w:r>
          </w:p>
        </w:tc>
        <w:tc>
          <w:tcPr>
            <w:tcW w:w="1417" w:type="dxa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Низкая</w:t>
            </w:r>
          </w:p>
        </w:tc>
      </w:tr>
      <w:tr>
        <w:tc>
          <w:tcPr>
            <w:tcW w:w="572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86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>
        <w:tc>
          <w:tcPr>
            <w:tcW w:w="572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86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>
      <w:pPr>
        <w:pStyle w:val="ConsPlusNormal"/>
        <w:jc w:val="center"/>
        <w:outlineLvl w:val="2"/>
        <w:rPr>
          <w:rFonts w:ascii="Times New Roman" w:hAnsi="Times New Roman" w:cs="Times New Roman"/>
          <w:sz w:val="12"/>
          <w:szCs w:val="28"/>
        </w:rPr>
      </w:pPr>
    </w:p>
    <w:p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ФИНАНСОВО-ЭКОНОМИЧЕСКИЕ ПОКАЗАТЕЛИ</w:t>
      </w:r>
    </w:p>
    <w:p>
      <w:pPr>
        <w:pStyle w:val="ConsPlusNormal"/>
        <w:jc w:val="both"/>
        <w:rPr>
          <w:rFonts w:ascii="Times New Roman" w:hAnsi="Times New Roman" w:cs="Times New Roman"/>
          <w:sz w:val="12"/>
          <w:szCs w:val="28"/>
        </w:rPr>
      </w:pPr>
    </w:p>
    <w:p>
      <w:pPr>
        <w:pStyle w:val="ConsPlusNormal"/>
        <w:jc w:val="right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Таблица 6.1</w:t>
      </w:r>
    </w:p>
    <w:p>
      <w:pPr>
        <w:pStyle w:val="ConsPlusNormal"/>
        <w:jc w:val="both"/>
        <w:rPr>
          <w:rFonts w:ascii="Times New Roman" w:hAnsi="Times New Roman" w:cs="Times New Roman"/>
          <w:sz w:val="10"/>
          <w:szCs w:val="28"/>
        </w:rPr>
      </w:pPr>
    </w:p>
    <w:p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Динамика основных финансово-экономических показателей</w:t>
      </w:r>
    </w:p>
    <w:p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предпринимательской деятельности за период реализации проекта, рублей</w:t>
      </w:r>
    </w:p>
    <w:p>
      <w:pPr>
        <w:pStyle w:val="ConsPlusNormal"/>
        <w:jc w:val="both"/>
        <w:rPr>
          <w:rFonts w:ascii="Times New Roman" w:hAnsi="Times New Roman" w:cs="Times New Roman"/>
          <w:sz w:val="14"/>
          <w:szCs w:val="28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771"/>
        <w:gridCol w:w="4275"/>
        <w:gridCol w:w="1253"/>
        <w:gridCol w:w="1134"/>
        <w:gridCol w:w="1134"/>
        <w:gridCol w:w="1134"/>
      </w:tblGrid>
      <w:tr>
        <w:tc>
          <w:tcPr>
            <w:tcW w:w="771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/п</w:t>
            </w:r>
          </w:p>
        </w:tc>
        <w:tc>
          <w:tcPr>
            <w:tcW w:w="4275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показателя</w:t>
            </w:r>
          </w:p>
        </w:tc>
        <w:tc>
          <w:tcPr>
            <w:tcW w:w="125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20__ г.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20__ г.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20__ г.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20__ г.</w:t>
            </w:r>
          </w:p>
        </w:tc>
      </w:tr>
      <w:tr>
        <w:tc>
          <w:tcPr>
            <w:tcW w:w="771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</w:p>
        </w:tc>
        <w:tc>
          <w:tcPr>
            <w:tcW w:w="4275" w:type="dxa"/>
            <w:vAlign w:val="cente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Выручка от реализации товаров, работ, услуг</w:t>
            </w:r>
          </w:p>
        </w:tc>
        <w:tc>
          <w:tcPr>
            <w:tcW w:w="1253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771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</w:p>
        </w:tc>
        <w:tc>
          <w:tcPr>
            <w:tcW w:w="4275" w:type="dxa"/>
            <w:vAlign w:val="cente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Доходы, не связанные с основной деятельностью</w:t>
            </w:r>
          </w:p>
        </w:tc>
        <w:tc>
          <w:tcPr>
            <w:tcW w:w="1253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771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</w:p>
        </w:tc>
        <w:tc>
          <w:tcPr>
            <w:tcW w:w="4275" w:type="dxa"/>
            <w:vAlign w:val="cente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компании на закупку товаров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сырья</w:t>
            </w:r>
          </w:p>
        </w:tc>
        <w:tc>
          <w:tcPr>
            <w:tcW w:w="1253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771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</w:p>
        </w:tc>
        <w:tc>
          <w:tcPr>
            <w:tcW w:w="4275" w:type="dxa"/>
            <w:vAlign w:val="cente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компании на заработную плату сотрудников (без учета налога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доходы физических лиц)</w:t>
            </w:r>
          </w:p>
        </w:tc>
        <w:tc>
          <w:tcPr>
            <w:tcW w:w="1253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771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</w:p>
        </w:tc>
        <w:tc>
          <w:tcPr>
            <w:tcW w:w="4275" w:type="dxa"/>
            <w:vAlign w:val="cente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содержание помещений, аренду и коммунальные платежи</w:t>
            </w:r>
          </w:p>
        </w:tc>
        <w:tc>
          <w:tcPr>
            <w:tcW w:w="1253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771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</w:p>
        </w:tc>
        <w:tc>
          <w:tcPr>
            <w:tcW w:w="4275" w:type="dxa"/>
            <w:vAlign w:val="cente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содержание транспортных средств (аренда, горюче-смазочные материалы, запасные части)</w:t>
            </w:r>
          </w:p>
        </w:tc>
        <w:tc>
          <w:tcPr>
            <w:tcW w:w="1253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771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</w:p>
        </w:tc>
        <w:tc>
          <w:tcPr>
            <w:tcW w:w="4275" w:type="dxa"/>
            <w:vAlign w:val="cente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Уплачиваемые компанией налоги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бюджеты всех уровней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(в соответствии с </w:t>
            </w:r>
            <w:hyperlink w:tooltip="#P679" w:anchor="P679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таблицей 4.1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</w:t>
            </w:r>
          </w:p>
        </w:tc>
        <w:tc>
          <w:tcPr>
            <w:tcW w:w="1253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771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</w:p>
        </w:tc>
        <w:tc>
          <w:tcPr>
            <w:tcW w:w="4275" w:type="dxa"/>
            <w:vAlign w:val="cente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расходы компании</w:t>
            </w:r>
          </w:p>
        </w:tc>
        <w:tc>
          <w:tcPr>
            <w:tcW w:w="1253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771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</w:p>
        </w:tc>
        <w:tc>
          <w:tcPr>
            <w:tcW w:w="4275" w:type="dxa"/>
            <w:vAlign w:val="cente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расходы (стр. 3 + стр. 4 + стр. 5 + стр. 6 + стр. 7 + стр. 8)</w:t>
            </w:r>
          </w:p>
        </w:tc>
        <w:tc>
          <w:tcPr>
            <w:tcW w:w="1253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771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</w:p>
        </w:tc>
        <w:tc>
          <w:tcPr>
            <w:tcW w:w="4275" w:type="dxa"/>
            <w:vAlign w:val="cente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Прибыль (стр. 1 + стр. 2 - стр. 9)</w:t>
            </w:r>
          </w:p>
        </w:tc>
        <w:tc>
          <w:tcPr>
            <w:tcW w:w="1253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r>
        <w:br w:type="page" w:clear="all"/>
      </w:r>
    </w:p>
    <w:tbl>
      <w:tblPr>
        <w:tblStyle w:val="af6"/>
        <w:tblW w:w="6095" w:type="dxa"/>
        <w:tblInd w:w="365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6095"/>
      </w:tblGrid>
      <w:tr>
        <w:tc>
          <w:tcPr>
            <w:tcW w:w="6095" w:type="dxa"/>
          </w:tcPr>
          <w:p>
            <w:pPr>
              <w:pStyle w:val="ConsPlusNormal"/>
              <w:jc w:val="right"/>
              <w:outlineLvl w:val="1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Приложение № 2</w:t>
            </w:r>
          </w:p>
        </w:tc>
      </w:tr>
    </w:tbl>
    <w:p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Обязательство</w:t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______________________________________________________обязуется: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(наименование участника отбора)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обеспечить темп роста дохода на одного работника </w:t>
      </w:r>
      <w:r>
        <w:rPr>
          <w:rFonts w:ascii="Times New Roman" w:hAnsi="Times New Roman" w:cs="Times New Roman"/>
          <w:sz w:val="28"/>
          <w:szCs w:val="28"/>
        </w:rPr>
        <w:br/>
        <w:t xml:space="preserve">на уровне не менее 116,6 процента по истечении квартала, следующего </w:t>
      </w:r>
      <w:r>
        <w:rPr>
          <w:rFonts w:ascii="Times New Roman" w:hAnsi="Times New Roman" w:cs="Times New Roman"/>
          <w:sz w:val="28"/>
          <w:szCs w:val="28"/>
        </w:rPr>
        <w:br/>
        <w:t xml:space="preserve">за кварталом заключения соглашения, к уровню дохода на одного работника </w:t>
      </w:r>
      <w:r>
        <w:rPr>
          <w:rFonts w:ascii="Times New Roman" w:hAnsi="Times New Roman" w:cs="Times New Roman"/>
          <w:sz w:val="28"/>
          <w:szCs w:val="28"/>
        </w:rPr>
        <w:br/>
        <w:t xml:space="preserve">по итогам квартала, в котором заключено соглашение: __________________процентов;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(указать процент)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сохранить уровень дохода на одного работника с учетом темпа роста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на уровне _______________ процентов в течение 3 лет, следующих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sz w:val="24"/>
          <w:szCs w:val="28"/>
        </w:rPr>
        <w:t xml:space="preserve">                             (указать процент)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кварталом выполнения обязательства по увеличению уровня доходов;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увеличить среднесписочную численность работников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по итогам квартала, следующего за кварталом заключения соглашения,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на ___________________человек;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(указать количество)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сохранить среднесписочную численность работников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с учетом увеличения, осуществленного по истечении квартала,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следующего за кварталом заключения соглашения, в течение 3 лет,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следующих за кварталом выполнения обязательства по увеличению среднесписочной численности работников;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обеспечить темп роста налоговых отчислений в бюджеты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всех уровней, осуществленных по итогам 2025 года, к налоговым отчислениям в бюджеты всех уровней, осуществленным по итогам 2024 года,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на уровне ___________________процентов.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(указать процент)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   _______________________    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4"/>
          <w:szCs w:val="28"/>
        </w:rPr>
        <w:t xml:space="preserve">(подпись)                     (расшифровка подписи)                         (должность)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М.П.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(при наличии)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______________ 20__ г.</w:t>
      </w:r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6"/>
        <w:tblW w:w="0" w:type="auto"/>
        <w:tblInd w:w="365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6095"/>
      </w:tblGrid>
      <w:tr>
        <w:tc>
          <w:tcPr>
            <w:tcW w:w="6095" w:type="dxa"/>
          </w:tcPr>
          <w:p>
            <w:pPr>
              <w:pStyle w:val="ConsPlusNormal"/>
              <w:jc w:val="center"/>
              <w:outlineLvl w:val="1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  <w:p>
            <w:pPr>
              <w:pStyle w:val="ConsPlusNormal"/>
              <w:jc w:val="center"/>
              <w:outlineLvl w:val="1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  <w:p>
            <w:pPr>
              <w:pStyle w:val="ConsPlusNormal"/>
              <w:jc w:val="center"/>
              <w:outlineLvl w:val="1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  <w:p>
            <w:pPr>
              <w:pStyle w:val="ConsPlusNormal"/>
              <w:jc w:val="center"/>
              <w:outlineLvl w:val="1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  <w:p>
            <w:pPr>
              <w:pStyle w:val="ConsPlusNormal"/>
              <w:jc w:val="center"/>
              <w:outlineLvl w:val="1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  <w:p>
            <w:pPr>
              <w:pStyle w:val="ConsPlusNormal"/>
              <w:jc w:val="center"/>
              <w:outlineLvl w:val="1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  <w:p>
            <w:pPr>
              <w:pStyle w:val="ConsPlusNormal"/>
              <w:jc w:val="center"/>
              <w:outlineLvl w:val="1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  <w:p>
            <w:pPr>
              <w:pStyle w:val="ConsPlusNormal"/>
              <w:jc w:val="right"/>
              <w:outlineLvl w:val="1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Приложение № 3</w:t>
            </w:r>
          </w:p>
          <w:p>
            <w:pPr>
              <w:pStyle w:val="ConsPlusNormal"/>
              <w:jc w:val="center"/>
              <w:rPr>
                <w:rFonts w:ascii="Times New Roman" w:hAnsi="Times New Roman" w:eastAsia="Times New Roman" w:cs="Times New Roman"/>
                <w:b/>
                <w:bCs/>
                <w:sz w:val="6"/>
                <w:szCs w:val="28"/>
              </w:rPr>
            </w:pPr>
          </w:p>
        </w:tc>
      </w:tr>
    </w:tbl>
    <w:p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"/>
        </w:rPr>
      </w:pPr>
    </w:p>
    <w:p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10"/>
          <w:szCs w:val="28"/>
        </w:rPr>
      </w:pPr>
    </w:p>
    <w:p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"/>
        </w:rPr>
      </w:pPr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698"/>
        <w:gridCol w:w="2864"/>
        <w:gridCol w:w="3509"/>
        <w:gridCol w:w="630"/>
      </w:tblGrid>
      <w:tr>
        <w:trPr>
          <w:trHeight w:val="287"/>
        </w:trPr>
        <w:tc>
          <w:tcPr>
            <w:tcW w:w="9701" w:type="dxa"/>
            <w:gridSpan w:val="4"/>
          </w:tcPr>
          <w:p>
            <w:pPr>
              <w:pStyle w:val="ConsPlusNormal"/>
              <w:rPr>
                <w:rFonts w:ascii="Times New Roman" w:hAnsi="Times New Roman" w:cs="Times New Roman"/>
                <w:b/>
                <w:sz w:val="2"/>
                <w:szCs w:val="28"/>
              </w:rPr>
            </w:pP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"/>
                <w:szCs w:val="28"/>
              </w:rPr>
            </w:pP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Согласие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>
        <w:tc>
          <w:tcPr>
            <w:tcW w:w="9701" w:type="dxa"/>
            <w:gridSpan w:val="4"/>
          </w:tcPr>
          <w:p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Настоящим _______________________________________ дает свое согласие:</w:t>
            </w:r>
          </w:p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(указывается полное наименование участника отбора)</w:t>
            </w:r>
          </w:p>
          <w:p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 сохранение в собственности приобретенного оборудования без права передачи в аренду (субаренду) в течение не менее 3 лет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даты заключения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соглашения о предоставлении субсидии;</w:t>
            </w:r>
          </w:p>
          <w:p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 осуществление вида предпринимательской деятельности, указанного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заявлении о предоставлении субсидии, в течение не менее 3 лет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даты заключения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соглашения о предоставлении субсидии;</w:t>
            </w:r>
          </w:p>
          <w:p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 осуществление министерством 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промышленности Белгородской области проверки соблюдения получателями субсидий порядка и условий предоставления субсидий, в том числе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части достижения результатов предоставления субсидий, а также проверки органами государственного финансового контроля Белгородской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соответствии со статьями 268.1 и </w:t>
            </w:r>
            <w:hyperlink r:id="rId10" w:tooltip="https://login.consultant.ru/link/?req=doc&amp;base=LAW&amp;n=469774&amp;dst=3722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 xml:space="preserve">269.2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Российской Федерации;</w:t>
            </w:r>
          </w:p>
          <w:p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 согласование новых условий соглашения или о расторжении соглашения при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недостижении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согласия по новым условиям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случае уменьшения министерству 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промышленности Белгородской области ранее доведенных лимитов бюджетных ассигнований, указанных в пункте 1.4 раздела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Порядка предоставления субсидий из областного бюджета субъектам малого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среднего предпринимательства Белгородской области на возмещение затрат, связанных с приобретением оборудования для создания и расширения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производства в сельской местности Белгородской области, и возмещение затрат, связанных с приобретением оборудования для создания и расширения производства в городских и иных поселениях Белгородской области, приводящего к невозможности предоставления субсидии в размере, определенном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соглашением.</w:t>
            </w:r>
          </w:p>
          <w:p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</w:t>
            </w:r>
          </w:p>
        </w:tc>
      </w:tr>
      <w:tr>
        <w:trPr>
          <w:gridAfter w:val="1"/>
        </w:trPr>
        <w:tc>
          <w:tcPr>
            <w:tcW w:w="269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_____________________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(подпись)</w:t>
            </w:r>
          </w:p>
        </w:tc>
        <w:tc>
          <w:tcPr>
            <w:tcW w:w="286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______________________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(расшифровка подписи)</w:t>
            </w:r>
          </w:p>
        </w:tc>
        <w:tc>
          <w:tcPr>
            <w:tcW w:w="3509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____________________________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(должность)</w:t>
            </w:r>
          </w:p>
        </w:tc>
      </w:tr>
      <w:tr>
        <w:trPr>
          <w:gridAfter w:val="1"/>
        </w:trPr>
        <w:tc>
          <w:tcPr>
            <w:tcW w:w="9071" w:type="dxa"/>
            <w:gridSpan w:val="3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</w:p>
          <w:p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М.П.</w:t>
            </w:r>
          </w:p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   (при наличии)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«___» ______________ 20__ г.</w:t>
            </w:r>
          </w:p>
          <w:p>
            <w:pPr>
              <w:pStyle w:val="ConsPlusNormal"/>
              <w:rPr>
                <w:rFonts w:ascii="Times New Roman" w:hAnsi="Times New Roman" w:cs="Times New Roman"/>
                <w:sz w:val="2"/>
                <w:szCs w:val="28"/>
              </w:rPr>
            </w:pPr>
          </w:p>
          <w:p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</w:p>
          <w:p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</w:tr>
    </w:tbl>
    <w:tbl>
      <w:tblPr>
        <w:tblStyle w:val="af6"/>
        <w:tblW w:w="6237" w:type="dxa"/>
        <w:tblInd w:w="35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6237"/>
      </w:tblGrid>
      <w:tr>
        <w:tc>
          <w:tcPr>
            <w:tcW w:w="6237" w:type="dxa"/>
          </w:tcPr>
          <w:p>
            <w:pPr>
              <w:pStyle w:val="ConsPlusNormal"/>
              <w:jc w:val="center"/>
              <w:outlineLvl w:val="1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  <w:p>
            <w:pPr>
              <w:pStyle w:val="ConsPlusNormal"/>
              <w:jc w:val="center"/>
              <w:outlineLvl w:val="1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  <w:p>
            <w:pPr>
              <w:pStyle w:val="ConsPlusNormal"/>
              <w:jc w:val="center"/>
              <w:outlineLvl w:val="1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  <w:p>
            <w:pPr>
              <w:pStyle w:val="ConsPlusNormal"/>
              <w:jc w:val="center"/>
              <w:outlineLvl w:val="1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  <w:p>
            <w:pPr>
              <w:pStyle w:val="ConsPlusNormal"/>
              <w:jc w:val="right"/>
              <w:outlineLvl w:val="1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Приложение № 4</w:t>
            </w:r>
          </w:p>
          <w:p>
            <w:pPr>
              <w:pStyle w:val="ConsPlusNormal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</w:tc>
      </w:tr>
    </w:tbl>
    <w:p>
      <w:pPr>
        <w:pStyle w:val="ConsPlusNormal"/>
        <w:jc w:val="both"/>
        <w:outlineLvl w:val="1"/>
        <w:rPr>
          <w:rFonts w:ascii="Times New Roman" w:hAnsi="Times New Roman" w:eastAsia="Times New Roman" w:cs="Times New Roman"/>
          <w:b/>
          <w:bCs/>
          <w:sz w:val="2"/>
          <w:szCs w:val="28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1043"/>
      <w:bookmarkEnd w:id="2"/>
      <w:r>
        <w:rPr>
          <w:rFonts w:ascii="Times New Roman" w:hAnsi="Times New Roman" w:cs="Times New Roman"/>
          <w:b/>
          <w:sz w:val="28"/>
          <w:szCs w:val="28"/>
        </w:rPr>
        <w:t xml:space="preserve">Согласие</w:t>
      </w:r>
    </w:p>
    <w:p>
      <w:pPr>
        <w:widowControl w:val="o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обработку персональных данных, разрешенных субъектом персональных данных для распространения</w:t>
      </w:r>
    </w:p>
    <w:p>
      <w:pPr>
        <w:widowControl w:val="o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(для физического лица)</w:t>
      </w:r>
    </w:p>
    <w:p>
      <w:pPr>
        <w:widowControl w:val="o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widowControl w:val="o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Я, субъект персональных данных _________________________________,</w:t>
      </w:r>
    </w:p>
    <w:p>
      <w:pPr>
        <w:widowControl w:val="off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(Ф.И.О. (последнее </w:t>
      </w:r>
      <w:r>
        <w:rPr>
          <w:rFonts w:ascii="Times New Roman" w:hAnsi="Times New Roman" w:cs="Times New Roman"/>
          <w:b/>
          <w:sz w:val="24"/>
          <w:szCs w:val="28"/>
        </w:rPr>
        <w:t xml:space="preserve">–</w:t>
      </w:r>
      <w:r>
        <w:rPr>
          <w:rFonts w:ascii="Times New Roman" w:hAnsi="Times New Roman" w:cs="Times New Roman"/>
          <w:sz w:val="24"/>
          <w:szCs w:val="28"/>
        </w:rPr>
        <w:t xml:space="preserve"> при наличии))</w:t>
      </w:r>
    </w:p>
    <w:p>
      <w:pPr>
        <w:widowControl w:val="o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зарегистрирова</w:t>
      </w:r>
      <w:r>
        <w:rPr>
          <w:rFonts w:ascii="Times New Roman" w:hAnsi="Times New Roman" w:cs="Times New Roman"/>
          <w:sz w:val="28"/>
          <w:szCs w:val="28"/>
        </w:rPr>
        <w:t xml:space="preserve">н(</w:t>
      </w:r>
      <w:r>
        <w:rPr>
          <w:rFonts w:ascii="Times New Roman" w:hAnsi="Times New Roman" w:cs="Times New Roman"/>
          <w:sz w:val="28"/>
          <w:szCs w:val="28"/>
        </w:rPr>
        <w:t xml:space="preserve">-а) __________________________________________________,</w:t>
      </w:r>
    </w:p>
    <w:p>
      <w:pPr>
        <w:widowControl w:val="off"/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(адрес)</w:t>
      </w:r>
    </w:p>
    <w:p>
      <w:pPr>
        <w:widowControl w:val="o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___________________________________________________________________,</w:t>
      </w:r>
    </w:p>
    <w:p>
      <w:pPr>
        <w:widowControl w:val="off"/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(серия и номер документа, удостоверяющего личность, кем и когда выдан)</w:t>
      </w:r>
    </w:p>
    <w:p>
      <w:pPr>
        <w:widowControl w:val="o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согласие свободно, своей волей и в своем интересе министерству экономического развития и промышленности Белгородской области </w:t>
      </w:r>
      <w:r>
        <w:rPr>
          <w:rFonts w:ascii="Times New Roman" w:hAnsi="Times New Roman" w:cs="Times New Roman"/>
          <w:sz w:val="28"/>
          <w:szCs w:val="28"/>
        </w:rPr>
        <w:br/>
        <w:t xml:space="preserve">(далее – Министерство), расположенному по адресу: г. Белгород, </w:t>
      </w:r>
      <w:r>
        <w:rPr>
          <w:rFonts w:ascii="Times New Roman" w:hAnsi="Times New Roman" w:cs="Times New Roman"/>
          <w:sz w:val="28"/>
          <w:szCs w:val="28"/>
        </w:rPr>
        <w:br/>
        <w:t xml:space="preserve">проспект Славы, д. 72, на обработку моих персональных данных, разрешенных </w:t>
      </w:r>
      <w:r>
        <w:rPr>
          <w:rFonts w:ascii="Times New Roman" w:hAnsi="Times New Roman" w:cs="Times New Roman"/>
          <w:sz w:val="28"/>
          <w:szCs w:val="28"/>
        </w:rPr>
        <w:br/>
        <w:t xml:space="preserve">для распространения, со следующими условиями:</w:t>
      </w:r>
    </w:p>
    <w:p>
      <w:pPr>
        <w:widowControl w:val="o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Согласие дается на обработку 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данных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 xml:space="preserve">как без использования средств автоматизации, так и с их использованием.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Согласие дается на обработку следующих моих персональных данных: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персональные данные, не являющиеся специальными </w:t>
      </w:r>
      <w:r>
        <w:rPr>
          <w:rFonts w:ascii="Times New Roman" w:hAnsi="Times New Roman" w:cs="Times New Roman"/>
          <w:sz w:val="28"/>
          <w:szCs w:val="28"/>
        </w:rPr>
        <w:br/>
        <w:t xml:space="preserve">или биометрическими: фамилия, имя, отчество (последнее – при наличии); </w:t>
      </w:r>
      <w:r>
        <w:rPr>
          <w:rFonts w:ascii="Times New Roman" w:hAnsi="Times New Roman" w:cs="Times New Roman"/>
          <w:sz w:val="28"/>
          <w:szCs w:val="28"/>
        </w:rPr>
        <w:br/>
        <w:t xml:space="preserve">дата рождения; место рождения; гражданство; реквизиты документа, удостоверяющего личность; идентификационный номер налогоплательщика; основной государственный регистрационный номер; адрес регистрации </w:t>
      </w:r>
      <w:r>
        <w:rPr>
          <w:rFonts w:ascii="Times New Roman" w:hAnsi="Times New Roman" w:cs="Times New Roman"/>
          <w:sz w:val="28"/>
          <w:szCs w:val="28"/>
        </w:rPr>
        <w:br/>
        <w:t xml:space="preserve">и проживания; номера контактных телефонов; адреса электронной почты; место работы и занимаемая должность; сведения о доходах; сведения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о банковских счетах;</w:t>
      </w:r>
      <w:r>
        <w:rPr>
          <w:rFonts w:ascii="Times New Roman" w:hAnsi="Times New Roman" w:cs="Times New Roman"/>
          <w:sz w:val="28"/>
          <w:szCs w:val="28"/>
        </w:rPr>
        <w:t xml:space="preserve"> сведения об образовании; сведения о социальном положении; сведения о группе инвалидности;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биометрические персональные данные: ксерокопия фотографии документа, удостоверяющего личность.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Следующие персональные данные являются общедоступными: фамилия, имя, отчество (последнее – при наличии); адрес регистрации </w:t>
      </w:r>
      <w:r>
        <w:rPr>
          <w:rFonts w:ascii="Times New Roman" w:hAnsi="Times New Roman" w:cs="Times New Roman"/>
          <w:sz w:val="28"/>
          <w:szCs w:val="28"/>
        </w:rPr>
        <w:br/>
        <w:t xml:space="preserve">и проживания; место работы и занимаемая должность; идентификационный номер налогоплательщика; основной государственный регистрационный номер; номера контактных телефонов; адреса электронной почты.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Условия и запреты на обработку вышеуказанных персональных данных не устанавливаю.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 xml:space="preserve">Цель обработки персональных данных: соблюдение требований </w:t>
      </w:r>
      <w:hyperlink r:id="rId11" w:tooltip="consultantplus://offline/ref=08A2591A590A995646F0A24DE53B1054B0B794F628DA282889AA9133D9ECD10C7FE106A47687569E6A72FEI5tFJ" w:history="1">
        <w:r>
          <w:rPr>
            <w:rFonts w:ascii="Times New Roman" w:hAnsi="Times New Roman" w:cs="Times New Roman"/>
            <w:sz w:val="28"/>
            <w:szCs w:val="28"/>
          </w:rPr>
          <w:t xml:space="preserve">Конституции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федеральных законов и иных нормативных правовых актов, внутренних актов Министерства, связанных </w:t>
      </w:r>
      <w:r>
        <w:rPr>
          <w:rFonts w:ascii="Times New Roman" w:hAnsi="Times New Roman" w:cs="Times New Roman"/>
          <w:sz w:val="28"/>
          <w:szCs w:val="28"/>
        </w:rPr>
        <w:br/>
        <w:t xml:space="preserve">с реализацией мер государственной поддержки, предоставляемой субъектам малого и среднего предпринимательства в рамках регионального проекта «Создание условий для легкого старта и комфортного ведения бизнеса» государственной программы Белгородской области «Развитие экономического потенциала и формирование благоприятного предпринимательского климата </w:t>
      </w:r>
      <w:r>
        <w:rPr>
          <w:rFonts w:ascii="Times New Roman" w:hAnsi="Times New Roman" w:cs="Times New Roman"/>
          <w:sz w:val="28"/>
          <w:szCs w:val="28"/>
        </w:rPr>
        <w:br/>
        <w:t xml:space="preserve">в Белгородской области», утвержденной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Белгородской области от 25 декабря 2023 года № 750-пп.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Основанием для обработки персональных данных являются: </w:t>
      </w:r>
      <w:r>
        <w:rPr>
          <w:rFonts w:ascii="Times New Roman" w:hAnsi="Times New Roman" w:cs="Times New Roman"/>
          <w:sz w:val="28"/>
          <w:szCs w:val="28"/>
        </w:rPr>
        <w:br/>
      </w:r>
      <w:hyperlink r:id="rId12" w:tooltip="consultantplus://offline/ref=08A2591A590A995646F0A24DE53B1054B0B794F628DA282889AA9133D9ECC30C27ED07AD688E548B3C23B8099A77C5BED1E0FF8AAD10IBt8J" w:history="1">
        <w:r>
          <w:rPr>
            <w:rFonts w:ascii="Times New Roman" w:hAnsi="Times New Roman" w:cs="Times New Roman"/>
            <w:sz w:val="28"/>
            <w:szCs w:val="28"/>
          </w:rPr>
          <w:t xml:space="preserve">статья 24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Конституции Российской Федерации; </w:t>
      </w:r>
      <w:hyperlink r:id="rId13" w:tooltip="consultantplus://offline/ref=08A2591A590A995646F0A24DE53B1054B6BC9AF1238D7F2AD8FF9F36D1BC8B1C69A80AAC688751856F79A80DD323C1A1D8FBE18DB310BB7FI8t3J" w:history="1">
        <w:r>
          <w:rPr>
            <w:rFonts w:ascii="Times New Roman" w:hAnsi="Times New Roman" w:cs="Times New Roman"/>
            <w:sz w:val="28"/>
            <w:szCs w:val="28"/>
          </w:rPr>
          <w:t xml:space="preserve">статья 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2006 года № 152-ФЗ «О персональных данных»; </w:t>
      </w:r>
      <w:hyperlink r:id="rId14" w:tooltip="consultantplus://offline/ref=08A2591A590A995646F0BC40F3574A59B6B4CDFE2B857C7C84A0C46B86B5814B2EE753EE2C8A52806872FD5E9C229DE484E8E081B312BE6382821EI4tBJ" w:history="1">
        <w:r>
          <w:rPr>
            <w:rFonts w:ascii="Times New Roman" w:hAnsi="Times New Roman" w:cs="Times New Roman"/>
            <w:sz w:val="28"/>
            <w:szCs w:val="28"/>
          </w:rPr>
          <w:t xml:space="preserve">Положение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 xml:space="preserve">о Министерстве, утвержденное постановлением Правительства Белгородской области от 20 декабря 2021 года № 619-пп, нормативные правовые </w:t>
      </w:r>
      <w:r>
        <w:rPr>
          <w:rFonts w:ascii="Times New Roman" w:hAnsi="Times New Roman" w:cs="Times New Roman"/>
          <w:sz w:val="28"/>
          <w:szCs w:val="28"/>
        </w:rPr>
        <w:br/>
        <w:t xml:space="preserve">акты Министерства.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 xml:space="preserve">В ходе обработки персональных данных будут совершены следующие действия: сбор; запись; систематизация; накопление; хранение; уточнение (обновление, изменение); извлечение; использование; передача (распространение, предоставление, доступ); обезличивание; блокирование; удаление; уничтожение.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Передача персональных данных третьим лицам осуществляется </w:t>
      </w:r>
      <w:r>
        <w:rPr>
          <w:rFonts w:ascii="Times New Roman" w:hAnsi="Times New Roman" w:cs="Times New Roman"/>
          <w:sz w:val="28"/>
          <w:szCs w:val="28"/>
        </w:rPr>
        <w:br/>
        <w:t xml:space="preserve">на основании законодательства Российской Федерации, договора с участием субъекта персональных данных или с согласия субъекта персональных данных. Я даю свое согласие на возможную передачу своих персональных данных следующим третьим лицам: министерство финансов и бюджетной политики Белгородской области, ОГКУ «Центр бухгалтерского учета».</w:t>
      </w:r>
      <w:bookmarkStart w:id="3" w:name="P1066"/>
      <w:bookmarkEnd w:id="3"/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Персональные данные обрабатываются до окончания обработки. </w:t>
      </w:r>
      <w:r>
        <w:rPr>
          <w:rFonts w:ascii="Times New Roman" w:hAnsi="Times New Roman" w:cs="Times New Roman"/>
          <w:sz w:val="28"/>
          <w:szCs w:val="28"/>
        </w:rPr>
        <w:br/>
        <w:t xml:space="preserve">Также обработка персональных данных может быть прекращена по запросу субъекта персональных данных. Хранение персональных данных, зафиксированных на бумажных носителях, осуществляется согласно Федеральному </w:t>
      </w:r>
      <w:hyperlink r:id="rId15" w:tooltip="consultantplus://offline/ref=08A2591A590A995646F0A24DE53B1054B6BD91F226897F2AD8FF9F36D1BC8B1C7BA852A0698E4D806D6CFE5C95I7t5J" w:history="1">
        <w:r>
          <w:rPr>
            <w:rFonts w:ascii="Times New Roman" w:hAnsi="Times New Roman" w:cs="Times New Roman"/>
            <w:sz w:val="28"/>
            <w:szCs w:val="28"/>
          </w:rPr>
          <w:t xml:space="preserve">закону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22 октября 2004 года № 125-ФЗ </w:t>
      </w:r>
      <w:r>
        <w:rPr>
          <w:rFonts w:ascii="Times New Roman" w:hAnsi="Times New Roman" w:cs="Times New Roman"/>
          <w:sz w:val="28"/>
          <w:szCs w:val="28"/>
        </w:rPr>
        <w:br/>
        <w:t xml:space="preserve">«Об архивном деле в Российской Федерации» и иным нормативным правовым актам в области архивного дела и архивного хранения.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Согласие </w:t>
      </w:r>
      <w:r>
        <w:rPr>
          <w:rFonts w:ascii="Times New Roman" w:hAnsi="Times New Roman" w:cs="Times New Roman"/>
          <w:sz w:val="28"/>
          <w:szCs w:val="28"/>
        </w:rPr>
        <w:t xml:space="preserve">дается</w:t>
      </w:r>
      <w:r>
        <w:rPr>
          <w:rFonts w:ascii="Times New Roman" w:hAnsi="Times New Roman" w:cs="Times New Roman"/>
          <w:sz w:val="28"/>
          <w:szCs w:val="28"/>
        </w:rPr>
        <w:t xml:space="preserve"> в том числе на информационные (рекламные) оповещения.</w:t>
      </w:r>
      <w:bookmarkStart w:id="4" w:name="P1068"/>
      <w:bookmarkEnd w:id="4"/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Согласие может быть отозвано субъектом персональных данных </w:t>
      </w:r>
      <w:r>
        <w:rPr>
          <w:rFonts w:ascii="Times New Roman" w:hAnsi="Times New Roman" w:cs="Times New Roman"/>
          <w:sz w:val="28"/>
          <w:szCs w:val="28"/>
        </w:rPr>
        <w:br/>
        <w:t xml:space="preserve">или его представителем путем направления письменного заявления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в Министерство по адресу: г. Белгород, проспект Славы, д. 72.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>
        <w:rPr>
          <w:rFonts w:ascii="Times New Roman" w:hAnsi="Times New Roman" w:cs="Times New Roman"/>
          <w:sz w:val="28"/>
          <w:szCs w:val="28"/>
        </w:rPr>
        <w:t xml:space="preserve">В случае отзыва субъектом персональных данных </w:t>
      </w:r>
      <w:r>
        <w:rPr>
          <w:rFonts w:ascii="Times New Roman" w:hAnsi="Times New Roman" w:cs="Times New Roman"/>
          <w:sz w:val="28"/>
          <w:szCs w:val="28"/>
        </w:rPr>
        <w:br/>
        <w:t xml:space="preserve">или его представителем согласия на обработку персональных данных Министерство вправе продолжить обработку персональных данных </w:t>
      </w:r>
      <w:r>
        <w:rPr>
          <w:rFonts w:ascii="Times New Roman" w:hAnsi="Times New Roman" w:cs="Times New Roman"/>
          <w:sz w:val="28"/>
          <w:szCs w:val="28"/>
        </w:rPr>
        <w:br/>
        <w:t xml:space="preserve">без согласия субъекта персональных данных при наличии оснований, указанных в </w:t>
      </w:r>
      <w:hyperlink r:id="rId16" w:tooltip="consultantplus://offline/ref=08A2591A590A995646F0A24DE53B1054B6BC9AF1238D7F2AD8FF9F36D1BC8B1C69A80AAC688751866879A80DD323C1A1D8FBE18DB310BB7FI8t3J" w:history="1">
        <w:r>
          <w:rPr>
            <w:rFonts w:ascii="Times New Roman" w:hAnsi="Times New Roman" w:cs="Times New Roman"/>
            <w:sz w:val="28"/>
            <w:szCs w:val="28"/>
          </w:rPr>
          <w:t xml:space="preserve">пунктах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– 11 части 1 статьи 6, </w:t>
      </w:r>
      <w:hyperlink r:id="rId17" w:tooltip="consultantplus://offline/ref=08A2591A590A995646F0A24DE53B1054B6BC9AF1238D7F2AD8FF9F36D1BC8B1C69A80AAC688753886A79A80DD323C1A1D8FBE18DB310BB7FI8t3J" w:history="1">
        <w:r>
          <w:rPr>
            <w:rFonts w:ascii="Times New Roman" w:hAnsi="Times New Roman" w:cs="Times New Roman"/>
            <w:sz w:val="28"/>
            <w:szCs w:val="28"/>
          </w:rPr>
          <w:t xml:space="preserve">части 2 статьи 10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18" w:tooltip="consultantplus://offline/ref=08A2591A590A995646F0A24DE53B1054B6BC9AF1238D7F2AD8FF9F36D1BC8B1C69A80AAF6F8C07D12C27F15D9E68CCA5CFE7E18AIAtEJ" w:history="1">
        <w:r>
          <w:rPr>
            <w:rFonts w:ascii="Times New Roman" w:hAnsi="Times New Roman" w:cs="Times New Roman"/>
            <w:sz w:val="28"/>
            <w:szCs w:val="28"/>
          </w:rPr>
          <w:t xml:space="preserve">части 2 статьи 11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2006 года № 152-ФЗ «О персональных данных».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Настоящее согласие действует все время до момента прекращения обработки персональных данных, указанного в </w:t>
      </w:r>
      <w:hyperlink w:tooltip="#P1066" w:anchor="P1066" w:history="1">
        <w:r>
          <w:rPr>
            <w:rFonts w:ascii="Times New Roman" w:hAnsi="Times New Roman" w:cs="Times New Roman"/>
            <w:sz w:val="28"/>
            <w:szCs w:val="28"/>
          </w:rPr>
          <w:t xml:space="preserve">пунктах 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w:tooltip="#P1068" w:anchor="P1068" w:history="1">
        <w:r>
          <w:rPr>
            <w:rFonts w:ascii="Times New Roman" w:hAnsi="Times New Roman" w:cs="Times New Roman"/>
            <w:sz w:val="28"/>
            <w:szCs w:val="28"/>
          </w:rPr>
          <w:t xml:space="preserve">10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 xml:space="preserve">согласия.</w:t>
      </w:r>
    </w:p>
    <w:p>
      <w:pPr>
        <w:widowControl w:val="off"/>
        <w:spacing w:after="0" w:line="240" w:lineRule="auto"/>
        <w:jc w:val="both"/>
        <w:rPr>
          <w:rFonts w:ascii="Times New Roman" w:hAnsi="Times New Roman" w:cs="Times New Roman"/>
          <w:sz w:val="6"/>
          <w:szCs w:val="28"/>
        </w:rPr>
      </w:pPr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1984"/>
        <w:gridCol w:w="794"/>
        <w:gridCol w:w="2608"/>
        <w:gridCol w:w="425"/>
        <w:gridCol w:w="3231"/>
      </w:tblGrid>
      <w:tr>
        <w:tc>
          <w:tcPr>
            <w:tcW w:w="1984" w:type="dxa"/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</w:tcPr>
          <w:p>
            <w:pPr>
              <w:widowControl w:val="o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</w:t>
            </w:r>
          </w:p>
        </w:tc>
        <w:tc>
          <w:tcPr>
            <w:tcW w:w="794" w:type="dxa"/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</w:tcPr>
          <w:p>
            <w:pPr>
              <w:widowControl w:val="o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8" w:type="dxa"/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</w:t>
            </w:r>
          </w:p>
          <w:p>
            <w:pPr>
              <w:widowControl w:val="o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(подпись)</w:t>
            </w:r>
          </w:p>
        </w:tc>
        <w:tc>
          <w:tcPr>
            <w:tcW w:w="425" w:type="dxa"/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</w:tcPr>
          <w:p>
            <w:pPr>
              <w:widowControl w:val="o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</w:t>
            </w:r>
          </w:p>
          <w:p>
            <w:pPr>
              <w:widowControl w:val="o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(расшифровка подписи)</w:t>
            </w:r>
          </w:p>
        </w:tc>
      </w:tr>
      <w:tr>
        <w:tc>
          <w:tcPr>
            <w:tcW w:w="1984" w:type="dxa"/>
          </w:tcPr>
          <w:p>
            <w:pPr>
              <w:widowControl w:val="o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М.П.</w:t>
            </w:r>
          </w:p>
          <w:p>
            <w:pPr>
              <w:widowControl w:val="o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      (при наличии)</w:t>
            </w:r>
          </w:p>
          <w:p>
            <w:pPr>
              <w:widowControl w:val="off"/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425" w:type="dxa"/>
          </w:tcPr>
          <w:p>
            <w:pPr>
              <w:widowControl w:val="o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>
            <w:pPr>
              <w:widowControl w:val="o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c>
          <w:tcPr>
            <w:tcW w:w="9042" w:type="dxa"/>
            <w:gridSpan w:val="5"/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</w:tcPr>
          <w:p>
            <w:pPr>
              <w:widowControl w:val="off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«___» _____________ 20___ года</w:t>
            </w:r>
          </w:p>
        </w:tc>
      </w:tr>
    </w:tbl>
    <w:p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</w:rPr>
      </w:pPr>
    </w:p>
    <w:p>
      <w:pPr>
        <w:pStyle w:val="ConsPlusNormal"/>
        <w:rPr>
          <w:rFonts w:ascii="Times New Roman" w:hAnsi="Times New Roman" w:cs="Times New Roman"/>
        </w:rPr>
        <w:sectPr>
          <w:pgSz w:w="11906" w:h="16838"/>
          <w:pgMar w:top="567" w:right="567" w:bottom="567" w:left="1701" w:header="709" w:footer="709" w:gutter="0"/>
          <w:cols w:space="708"/>
          <w:docGrid w:linePitch="360"/>
          <w:titlePg/>
        </w:sectPr>
      </w:pPr>
    </w:p>
    <w:tbl>
      <w:tblPr>
        <w:tblStyle w:val="af6"/>
        <w:tblW w:w="6662" w:type="dxa"/>
        <w:tblInd w:w="847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6662"/>
      </w:tblGrid>
      <w:tr>
        <w:tc>
          <w:tcPr>
            <w:tcW w:w="6662" w:type="dxa"/>
          </w:tcPr>
          <w:p>
            <w:pPr>
              <w:pStyle w:val="ConsPlusNormal"/>
              <w:jc w:val="center"/>
              <w:outlineLvl w:val="1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Приложение № 5</w:t>
            </w:r>
          </w:p>
          <w:p>
            <w:pPr>
              <w:pStyle w:val="ConsPlusNormal"/>
              <w:jc w:val="center"/>
              <w:rPr>
                <w:rFonts w:ascii="Times New Roman" w:hAnsi="Times New Roman" w:eastAsia="Times New Roman" w:cs="Times New Roman"/>
                <w:b/>
                <w:bCs/>
                <w:sz w:val="14"/>
                <w:szCs w:val="26"/>
              </w:rPr>
            </w:pPr>
          </w:p>
          <w:p>
            <w:pPr>
              <w:pStyle w:val="ConsPlusNormal"/>
              <w:jc w:val="center"/>
              <w:rPr>
                <w:rFonts w:ascii="Times New Roman" w:hAnsi="Times New Roman" w:eastAsia="Times New Roman" w:cs="Times New Roman"/>
                <w:b/>
                <w:bCs/>
                <w:sz w:val="2"/>
                <w:szCs w:val="26"/>
              </w:rPr>
            </w:pPr>
          </w:p>
          <w:p>
            <w:pPr>
              <w:pStyle w:val="ConsPlusNormal"/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</w:tbl>
    <w:p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</w:t>
      </w:r>
    </w:p>
    <w:p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"/>
        </w:rPr>
      </w:pPr>
    </w:p>
    <w:p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Справка</w:t>
      </w:r>
    </w:p>
    <w:p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о просроченной задолженности по возврату в бюджет Белгородской области иных субсидий, 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br/>
        <w:t xml:space="preserve">бюджетных инвестиций, а также иной просроченной (неурегулированной) задолженности по денежным обязательствам перед бюджетом Белгородской области на «1» __________________________________ 20______ года</w:t>
      </w:r>
    </w:p>
    <w:p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 xml:space="preserve">                                                                                                       (месяц, год, в котором подается заявка на участие в отборе)</w:t>
      </w:r>
    </w:p>
    <w:p>
      <w:pPr>
        <w:pStyle w:val="ConsPlusNormal"/>
        <w:jc w:val="both"/>
        <w:rPr>
          <w:rFonts w:ascii="Times New Roman" w:hAnsi="Times New Roman" w:cs="Times New Roman"/>
          <w:sz w:val="2"/>
        </w:rPr>
      </w:pPr>
    </w:p>
    <w:tbl>
      <w:tblPr>
        <w:tblW w:w="148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055"/>
        <w:gridCol w:w="567"/>
        <w:gridCol w:w="708"/>
        <w:gridCol w:w="851"/>
        <w:gridCol w:w="1559"/>
        <w:gridCol w:w="709"/>
        <w:gridCol w:w="709"/>
        <w:gridCol w:w="850"/>
        <w:gridCol w:w="851"/>
        <w:gridCol w:w="1701"/>
        <w:gridCol w:w="850"/>
        <w:gridCol w:w="851"/>
        <w:gridCol w:w="850"/>
        <w:gridCol w:w="851"/>
        <w:gridCol w:w="1842"/>
      </w:tblGrid>
      <w:tr>
        <w:trPr>
          <w:trHeight w:val="880"/>
        </w:trPr>
        <w:tc>
          <w:tcPr>
            <w:tcW w:w="1055" w:type="dxa"/>
            <w:vMerge w:val="restart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средств,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предос-тавлен-ных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из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област-ного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бюджета</w:t>
            </w:r>
          </w:p>
        </w:tc>
        <w:tc>
          <w:tcPr>
            <w:tcW w:w="3685" w:type="dxa"/>
            <w:gridSpan w:val="4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Нормативный правовой акт Белгородской области, в соответствии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с которым предоставлены средства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из областного бюджета</w:t>
            </w:r>
          </w:p>
        </w:tc>
        <w:tc>
          <w:tcPr>
            <w:tcW w:w="4820" w:type="dxa"/>
            <w:gridSpan w:val="5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Соглашение (договор), заключенно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ый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между главным распорядителем средств областного бюджета и получателем, о предоставлении средств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из областного бюджета</w:t>
            </w:r>
          </w:p>
        </w:tc>
        <w:tc>
          <w:tcPr>
            <w:tcW w:w="5244" w:type="dxa"/>
            <w:gridSpan w:val="5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Договоры (контракты), заключенные получателем в целях исполнения обязательств в рамках соглашения (договора)</w:t>
            </w:r>
          </w:p>
        </w:tc>
      </w:tr>
      <w:tr>
        <w:trPr>
          <w:trHeight w:val="355"/>
        </w:trPr>
        <w:tc>
          <w:tcPr>
            <w:tcW w:w="1055" w:type="dxa"/>
            <w:vMerge w:val="continue"/>
          </w:tcPr>
          <w:p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вид</w:t>
            </w:r>
          </w:p>
        </w:tc>
        <w:tc>
          <w:tcPr>
            <w:tcW w:w="708" w:type="dxa"/>
            <w:vMerge w:val="restart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дата</w:t>
            </w:r>
          </w:p>
        </w:tc>
        <w:tc>
          <w:tcPr>
            <w:tcW w:w="851" w:type="dxa"/>
            <w:vMerge w:val="restart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</w:t>
            </w:r>
          </w:p>
        </w:tc>
        <w:tc>
          <w:tcPr>
            <w:tcW w:w="1559" w:type="dxa"/>
            <w:vMerge w:val="restart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цели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предостав-ления</w:t>
            </w:r>
          </w:p>
        </w:tc>
        <w:tc>
          <w:tcPr>
            <w:tcW w:w="709" w:type="dxa"/>
            <w:vMerge w:val="restart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дата</w:t>
            </w:r>
          </w:p>
        </w:tc>
        <w:tc>
          <w:tcPr>
            <w:tcW w:w="709" w:type="dxa"/>
            <w:vMerge w:val="restart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</w:t>
            </w:r>
          </w:p>
        </w:tc>
        <w:tc>
          <w:tcPr>
            <w:tcW w:w="850" w:type="dxa"/>
            <w:vMerge w:val="restart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сумма, тыс. руб.</w:t>
            </w:r>
          </w:p>
        </w:tc>
        <w:tc>
          <w:tcPr>
            <w:tcW w:w="2552" w:type="dxa"/>
            <w:gridSpan w:val="2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из них имеется задолженность</w:t>
            </w:r>
          </w:p>
        </w:tc>
        <w:tc>
          <w:tcPr>
            <w:tcW w:w="850" w:type="dxa"/>
            <w:vMerge w:val="restart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дата</w:t>
            </w:r>
          </w:p>
        </w:tc>
        <w:tc>
          <w:tcPr>
            <w:tcW w:w="851" w:type="dxa"/>
            <w:vMerge w:val="restart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</w:t>
            </w:r>
          </w:p>
        </w:tc>
        <w:tc>
          <w:tcPr>
            <w:tcW w:w="850" w:type="dxa"/>
            <w:vMerge w:val="restart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сумма, тыс. руб.</w:t>
            </w:r>
          </w:p>
        </w:tc>
        <w:tc>
          <w:tcPr>
            <w:tcW w:w="2693" w:type="dxa"/>
            <w:gridSpan w:val="2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из них имеется задолженность</w:t>
            </w:r>
          </w:p>
        </w:tc>
      </w:tr>
      <w:tr>
        <w:trPr>
          <w:trHeight w:val="403"/>
        </w:trPr>
        <w:tc>
          <w:tcPr>
            <w:tcW w:w="1055" w:type="dxa"/>
            <w:vMerge w:val="continue"/>
          </w:tcPr>
          <w:p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continue"/>
          </w:tcPr>
          <w:p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Merge w:val="continue"/>
          </w:tcPr>
          <w:p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 w:val="continue"/>
          </w:tcPr>
          <w:p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continue"/>
          </w:tcPr>
          <w:p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</w:tcPr>
          <w:p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</w:tcPr>
          <w:p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 w:val="continue"/>
          </w:tcPr>
          <w:p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</w:t>
            </w:r>
          </w:p>
        </w:tc>
        <w:tc>
          <w:tcPr>
            <w:tcW w:w="1701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 том числе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просроченная</w:t>
            </w:r>
          </w:p>
        </w:tc>
        <w:tc>
          <w:tcPr>
            <w:tcW w:w="850" w:type="dxa"/>
            <w:vMerge w:val="continue"/>
          </w:tcPr>
          <w:p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 w:val="continue"/>
          </w:tcPr>
          <w:p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 w:val="continue"/>
          </w:tcPr>
          <w:p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</w:t>
            </w:r>
          </w:p>
        </w:tc>
        <w:tc>
          <w:tcPr>
            <w:tcW w:w="184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 том числе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просроченная</w:t>
            </w:r>
          </w:p>
        </w:tc>
      </w:tr>
      <w:tr>
        <w:tc>
          <w:tcPr>
            <w:tcW w:w="1055" w:type="dxa"/>
          </w:tcPr>
          <w:p>
            <w:pPr>
              <w:pStyle w:val="ConsPlusNormal"/>
              <w:rPr>
                <w:rFonts w:ascii="Times New Roman" w:hAnsi="Times New Roman" w:cs="Times New Roman"/>
                <w:sz w:val="4"/>
                <w:szCs w:val="20"/>
              </w:rPr>
            </w:pPr>
          </w:p>
        </w:tc>
        <w:tc>
          <w:tcPr>
            <w:tcW w:w="567" w:type="dxa"/>
          </w:tcPr>
          <w:p>
            <w:pPr>
              <w:pStyle w:val="ConsPlusNormal"/>
              <w:rPr>
                <w:rFonts w:ascii="Times New Roman" w:hAnsi="Times New Roman" w:cs="Times New Roman"/>
                <w:sz w:val="4"/>
                <w:szCs w:val="20"/>
              </w:rPr>
            </w:pPr>
          </w:p>
        </w:tc>
        <w:tc>
          <w:tcPr>
            <w:tcW w:w="708" w:type="dxa"/>
          </w:tcPr>
          <w:p>
            <w:pPr>
              <w:pStyle w:val="ConsPlusNormal"/>
              <w:rPr>
                <w:rFonts w:ascii="Times New Roman" w:hAnsi="Times New Roman" w:cs="Times New Roman"/>
                <w:sz w:val="4"/>
                <w:szCs w:val="20"/>
              </w:rPr>
            </w:pPr>
          </w:p>
        </w:tc>
        <w:tc>
          <w:tcPr>
            <w:tcW w:w="851" w:type="dxa"/>
          </w:tcPr>
          <w:p>
            <w:pPr>
              <w:pStyle w:val="ConsPlusNormal"/>
              <w:rPr>
                <w:rFonts w:ascii="Times New Roman" w:hAnsi="Times New Roman" w:cs="Times New Roman"/>
                <w:sz w:val="4"/>
                <w:szCs w:val="20"/>
              </w:rPr>
            </w:pPr>
          </w:p>
        </w:tc>
        <w:tc>
          <w:tcPr>
            <w:tcW w:w="1559" w:type="dxa"/>
          </w:tcPr>
          <w:p>
            <w:pPr>
              <w:pStyle w:val="ConsPlusNormal"/>
              <w:rPr>
                <w:rFonts w:ascii="Times New Roman" w:hAnsi="Times New Roman" w:cs="Times New Roman"/>
                <w:sz w:val="4"/>
                <w:szCs w:val="20"/>
              </w:rPr>
            </w:pPr>
          </w:p>
        </w:tc>
        <w:tc>
          <w:tcPr>
            <w:tcW w:w="709" w:type="dxa"/>
          </w:tcPr>
          <w:p>
            <w:pPr>
              <w:pStyle w:val="ConsPlusNormal"/>
              <w:rPr>
                <w:rFonts w:ascii="Times New Roman" w:hAnsi="Times New Roman" w:cs="Times New Roman"/>
                <w:sz w:val="4"/>
                <w:szCs w:val="20"/>
              </w:rPr>
            </w:pPr>
          </w:p>
        </w:tc>
        <w:tc>
          <w:tcPr>
            <w:tcW w:w="709" w:type="dxa"/>
          </w:tcPr>
          <w:p>
            <w:pPr>
              <w:pStyle w:val="ConsPlusNormal"/>
              <w:rPr>
                <w:rFonts w:ascii="Times New Roman" w:hAnsi="Times New Roman" w:cs="Times New Roman"/>
                <w:sz w:val="4"/>
                <w:szCs w:val="20"/>
              </w:rPr>
            </w:pPr>
          </w:p>
        </w:tc>
        <w:tc>
          <w:tcPr>
            <w:tcW w:w="850" w:type="dxa"/>
          </w:tcPr>
          <w:p>
            <w:pPr>
              <w:pStyle w:val="ConsPlusNormal"/>
              <w:rPr>
                <w:rFonts w:ascii="Times New Roman" w:hAnsi="Times New Roman" w:cs="Times New Roman"/>
                <w:sz w:val="4"/>
                <w:szCs w:val="20"/>
              </w:rPr>
            </w:pPr>
          </w:p>
        </w:tc>
        <w:tc>
          <w:tcPr>
            <w:tcW w:w="851" w:type="dxa"/>
          </w:tcPr>
          <w:p>
            <w:pPr>
              <w:pStyle w:val="ConsPlusNormal"/>
              <w:rPr>
                <w:rFonts w:ascii="Times New Roman" w:hAnsi="Times New Roman" w:cs="Times New Roman"/>
                <w:sz w:val="4"/>
                <w:szCs w:val="20"/>
              </w:rPr>
            </w:pPr>
          </w:p>
        </w:tc>
        <w:tc>
          <w:tcPr>
            <w:tcW w:w="1701" w:type="dxa"/>
          </w:tcPr>
          <w:p>
            <w:pPr>
              <w:pStyle w:val="ConsPlusNormal"/>
              <w:rPr>
                <w:rFonts w:ascii="Times New Roman" w:hAnsi="Times New Roman" w:cs="Times New Roman"/>
                <w:sz w:val="4"/>
                <w:szCs w:val="20"/>
              </w:rPr>
            </w:pPr>
          </w:p>
        </w:tc>
        <w:tc>
          <w:tcPr>
            <w:tcW w:w="850" w:type="dxa"/>
          </w:tcPr>
          <w:p>
            <w:pPr>
              <w:pStyle w:val="ConsPlusNormal"/>
              <w:rPr>
                <w:rFonts w:ascii="Times New Roman" w:hAnsi="Times New Roman" w:cs="Times New Roman"/>
                <w:sz w:val="4"/>
                <w:szCs w:val="20"/>
              </w:rPr>
            </w:pPr>
          </w:p>
        </w:tc>
        <w:tc>
          <w:tcPr>
            <w:tcW w:w="851" w:type="dxa"/>
          </w:tcPr>
          <w:p>
            <w:pPr>
              <w:pStyle w:val="ConsPlusNormal"/>
              <w:rPr>
                <w:rFonts w:ascii="Times New Roman" w:hAnsi="Times New Roman" w:cs="Times New Roman"/>
                <w:sz w:val="4"/>
                <w:szCs w:val="20"/>
              </w:rPr>
            </w:pPr>
          </w:p>
        </w:tc>
        <w:tc>
          <w:tcPr>
            <w:tcW w:w="850" w:type="dxa"/>
          </w:tcPr>
          <w:p>
            <w:pPr>
              <w:pStyle w:val="ConsPlusNormal"/>
              <w:rPr>
                <w:rFonts w:ascii="Times New Roman" w:hAnsi="Times New Roman" w:cs="Times New Roman"/>
                <w:sz w:val="4"/>
                <w:szCs w:val="20"/>
              </w:rPr>
            </w:pPr>
          </w:p>
        </w:tc>
        <w:tc>
          <w:tcPr>
            <w:tcW w:w="851" w:type="dxa"/>
          </w:tcPr>
          <w:p>
            <w:pPr>
              <w:pStyle w:val="ConsPlusNormal"/>
              <w:rPr>
                <w:rFonts w:ascii="Times New Roman" w:hAnsi="Times New Roman" w:cs="Times New Roman"/>
                <w:sz w:val="4"/>
                <w:szCs w:val="20"/>
              </w:rPr>
            </w:pPr>
          </w:p>
        </w:tc>
        <w:tc>
          <w:tcPr>
            <w:tcW w:w="1842" w:type="dxa"/>
          </w:tcPr>
          <w:p>
            <w:pPr>
              <w:pStyle w:val="ConsPlusNormal"/>
              <w:rPr>
                <w:rFonts w:ascii="Times New Roman" w:hAnsi="Times New Roman" w:cs="Times New Roman"/>
                <w:sz w:val="4"/>
                <w:szCs w:val="20"/>
              </w:rPr>
            </w:pPr>
          </w:p>
        </w:tc>
      </w:tr>
    </w:tbl>
    <w:p>
      <w:pPr>
        <w:pStyle w:val="ConsPlusNormal"/>
        <w:jc w:val="both"/>
        <w:rPr>
          <w:rFonts w:ascii="Times New Roman" w:hAnsi="Times New Roman" w:cs="Times New Roman"/>
          <w:sz w:val="2"/>
        </w:rPr>
      </w:pP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Руководитель</w:t>
      </w:r>
    </w:p>
    <w:p>
      <w:pPr>
        <w:pStyle w:val="ConsPlusNonformat"/>
        <w:jc w:val="both"/>
        <w:rPr>
          <w:rFonts w:ascii="Times New Roman" w:hAnsi="Times New Roman" w:cs="Times New Roman"/>
          <w:sz w:val="8"/>
        </w:rPr>
      </w:pPr>
      <w:r>
        <w:rPr>
          <w:rFonts w:ascii="Times New Roman" w:hAnsi="Times New Roman" w:cs="Times New Roman"/>
          <w:sz w:val="22"/>
        </w:rPr>
        <w:t xml:space="preserve">______________________________                         _____________________________________              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 xml:space="preserve">     М.П.</w:t>
      </w:r>
      <w:r>
        <w:rPr>
          <w:rFonts w:ascii="Times New Roman" w:hAnsi="Times New Roman" w:cs="Times New Roman"/>
          <w:szCs w:val="20"/>
        </w:rPr>
        <w:t xml:space="preserve">                  (подпись)                                                   (расшифровка подписи)                                                                             (должность)    </w:t>
      </w:r>
    </w:p>
    <w:p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 xml:space="preserve">(при наличии)                                       </w:t>
      </w: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«___» ______ 20__ г.</w:t>
      </w:r>
    </w:p>
    <w:p>
      <w:pPr>
        <w:pStyle w:val="ConsPlusNonformat"/>
        <w:jc w:val="both"/>
        <w:rPr>
          <w:rFonts w:ascii="Times New Roman" w:hAnsi="Times New Roman" w:cs="Times New Roman"/>
        </w:rPr>
      </w:pPr>
    </w:p>
    <w:p>
      <w:pPr>
        <w:pStyle w:val="ConsPlusNormal"/>
        <w:rPr>
          <w:rFonts w:ascii="Times New Roman" w:hAnsi="Times New Roman" w:cs="Times New Roman"/>
        </w:rPr>
        <w:sectPr>
          <w:pgSz w:w="16838" w:h="11905" w:orient="landscape"/>
          <w:pgMar w:top="1134" w:right="1134" w:bottom="284" w:left="1134" w:header="0" w:footer="0" w:gutter="0"/>
          <w:cols w:space="720"/>
          <w:docGrid w:linePitch="360"/>
          <w:titlePg/>
        </w:sectPr>
      </w:pPr>
    </w:p>
    <w:p>
      <w:pPr>
        <w:pStyle w:val="ConsPlusNormal"/>
        <w:jc w:val="both"/>
        <w:rPr>
          <w:rFonts w:ascii="Times New Roman" w:hAnsi="Times New Roman" w:cs="Times New Roman"/>
          <w:sz w:val="6"/>
        </w:rPr>
      </w:pPr>
      <w:bookmarkStart w:id="5" w:name="_GoBack"/>
      <w:bookmarkEnd w:id="5"/>
    </w:p>
    <w:sectPr>
      <w:pgSz w:w="16838" w:h="11905" w:orient="landscape"/>
      <w:pgMar w:top="427" w:right="1134" w:bottom="567" w:left="1134" w:header="0" w:footer="0" w:gutter="0"/>
      <w:cols w:space="720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spacing w:after="0" w:line="360" w:lineRule="auto"/>
      <w:ind w:left="567"/>
      <w:outlineLvl w:val="2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hAnsi="Arial" w:eastAsia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hAnsi="Arial" w:eastAsia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Heading1Char" w:customStyle="1">
    <w:name w:val="Heading 1 Char"/>
    <w:basedOn w:val="a0"/>
    <w:uiPriority w:val="9"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a0"/>
    <w:uiPriority w:val="9"/>
    <w:rPr>
      <w:rFonts w:ascii="Arial" w:hAnsi="Arial" w:eastAsia="Arial" w:cs="Arial"/>
      <w:sz w:val="34"/>
    </w:rPr>
  </w:style>
  <w:style w:type="character" w:styleId="Heading4Char" w:customStyle="1">
    <w:name w:val="Heading 4 Char"/>
    <w:basedOn w:val="a0"/>
    <w:uiPriority w:val="9"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a0"/>
    <w:uiPriority w:val="9"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basedOn w:val="a0"/>
    <w:uiPriority w:val="9"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a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a0"/>
    <w:uiPriority w:val="9"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a0"/>
    <w:uiPriority w:val="9"/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basedOn w:val="a0"/>
    <w:uiPriority w:val="10"/>
    <w:rPr>
      <w:sz w:val="48"/>
      <w:szCs w:val="48"/>
    </w:rPr>
  </w:style>
  <w:style w:type="character" w:styleId="SubtitleChar" w:customStyle="1">
    <w:name w:val="Subtitle Char"/>
    <w:basedOn w:val="a0"/>
    <w:uiPriority w:val="11"/>
    <w:rPr>
      <w:sz w:val="24"/>
      <w:szCs w:val="24"/>
    </w:rPr>
  </w:style>
  <w:style w:type="character" w:styleId="QuoteChar" w:customStyle="1">
    <w:name w:val="Quote Char"/>
    <w:uiPriority w:val="29"/>
    <w:rPr>
      <w:i/>
    </w:rPr>
  </w:style>
  <w:style w:type="character" w:styleId="IntenseQuoteChar" w:customStyle="1">
    <w:name w:val="Intense Quote Char"/>
    <w:uiPriority w:val="30"/>
    <w:rPr>
      <w:i/>
    </w:rPr>
  </w:style>
  <w:style w:type="character" w:styleId="FootnoteTextChar" w:customStyle="1">
    <w:name w:val="Footnote Text Char"/>
    <w:uiPriority w:val="99"/>
    <w:rPr>
      <w:sz w:val="18"/>
    </w:rPr>
  </w:style>
  <w:style w:type="character" w:styleId="EndnoteTextChar" w:customStyle="1">
    <w:name w:val="Endnote Text Char"/>
    <w:uiPriority w:val="99"/>
    <w:rPr>
      <w:sz w:val="20"/>
    </w:rPr>
  </w:style>
  <w:style w:type="character" w:styleId="10" w:customStyle="1">
    <w:name w:val="Заголовок 1 Знак"/>
    <w:basedOn w:val="a0"/>
    <w:link w:val="1"/>
    <w:uiPriority w:val="9"/>
    <w:rPr>
      <w:rFonts w:ascii="Arial" w:hAnsi="Arial" w:eastAsia="Arial" w:cs="Arial"/>
      <w:sz w:val="40"/>
      <w:szCs w:val="40"/>
    </w:rPr>
  </w:style>
  <w:style w:type="character" w:styleId="20" w:customStyle="1">
    <w:name w:val="Заголовок 2 Знак"/>
    <w:basedOn w:val="a0"/>
    <w:link w:val="2"/>
    <w:uiPriority w:val="9"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a0"/>
    <w:uiPriority w:val="9"/>
    <w:rPr>
      <w:rFonts w:ascii="Arial" w:hAnsi="Arial" w:eastAsia="Arial" w:cs="Arial"/>
      <w:sz w:val="30"/>
      <w:szCs w:val="30"/>
    </w:rPr>
  </w:style>
  <w:style w:type="character" w:styleId="40" w:customStyle="1">
    <w:name w:val="Заголовок 4 Знак"/>
    <w:basedOn w:val="a0"/>
    <w:link w:val="4"/>
    <w:uiPriority w:val="9"/>
    <w:rPr>
      <w:rFonts w:ascii="Arial" w:hAnsi="Arial" w:eastAsia="Arial" w:cs="Arial"/>
      <w:b/>
      <w:bCs/>
      <w:sz w:val="26"/>
      <w:szCs w:val="26"/>
    </w:rPr>
  </w:style>
  <w:style w:type="character" w:styleId="50" w:customStyle="1">
    <w:name w:val="Заголовок 5 Знак"/>
    <w:basedOn w:val="a0"/>
    <w:link w:val="5"/>
    <w:uiPriority w:val="9"/>
    <w:rPr>
      <w:rFonts w:ascii="Arial" w:hAnsi="Arial" w:eastAsia="Arial" w:cs="Arial"/>
      <w:b/>
      <w:bCs/>
      <w:sz w:val="24"/>
      <w:szCs w:val="24"/>
    </w:rPr>
  </w:style>
  <w:style w:type="character" w:styleId="60" w:customStyle="1">
    <w:name w:val="Заголовок 6 Знак"/>
    <w:basedOn w:val="a0"/>
    <w:link w:val="6"/>
    <w:uiPriority w:val="9"/>
    <w:rPr>
      <w:rFonts w:ascii="Arial" w:hAnsi="Arial" w:eastAsia="Arial" w:cs="Arial"/>
      <w:b/>
      <w:bCs/>
      <w:sz w:val="22"/>
      <w:szCs w:val="22"/>
    </w:rPr>
  </w:style>
  <w:style w:type="character" w:styleId="70" w:customStyle="1">
    <w:name w:val="Заголовок 7 Знак"/>
    <w:basedOn w:val="a0"/>
    <w:link w:val="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0" w:customStyle="1">
    <w:name w:val="Заголовок 8 Знак"/>
    <w:basedOn w:val="a0"/>
    <w:link w:val="8"/>
    <w:uiPriority w:val="9"/>
    <w:rPr>
      <w:rFonts w:ascii="Arial" w:hAnsi="Arial" w:eastAsia="Arial" w:cs="Arial"/>
      <w:i/>
      <w:iCs/>
      <w:sz w:val="22"/>
      <w:szCs w:val="22"/>
    </w:rPr>
  </w:style>
  <w:style w:type="character" w:styleId="90" w:customStyle="1">
    <w:name w:val="Заголовок 9 Знак"/>
    <w:basedOn w:val="a0"/>
    <w:link w:val="9"/>
    <w:uiPriority w:val="9"/>
    <w:rPr>
      <w:rFonts w:ascii="Arial" w:hAnsi="Arial" w:eastAsia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styleId="a6" w:customStyle="1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styleId="a8" w:customStyle="1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styleId="22" w:customStyle="1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aa" w:customStyle="1">
    <w:name w:val="Выделенная цитата Знак"/>
    <w:link w:val="a9"/>
    <w:uiPriority w:val="30"/>
    <w:rPr>
      <w:i/>
    </w:rPr>
  </w:style>
  <w:style w:type="character" w:styleId="HeaderChar" w:customStyle="1">
    <w:name w:val="Header Char"/>
    <w:basedOn w:val="a0"/>
    <w:uiPriority w:val="99"/>
  </w:style>
  <w:style w:type="character" w:styleId="FooterChar" w:customStyle="1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CaptionChar" w:customStyle="1">
    <w:name w:val="Caption Char"/>
    <w:uiPriority w:val="99"/>
  </w:style>
  <w:style w:type="table" w:styleId="TableGridLight" w:customStyle="1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PlainTable1" w:customStyle="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1Horz">
      <w:tcPr>
        <w:shd w:val="clear" w:color="f2f2f2" w:themeColor="text1" w:themeTint="0D" w:fill="f2f2f2" w:themeFill="text1" w:themeFillTint="0D"/>
      </w:tcPr>
    </w:tblStylePr>
  </w:style>
  <w:style w:type="table" w:styleId="PlainTable2" w:customStyle="1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PlainTable3" w:customStyle="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PlainTable4" w:customStyle="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PlainTable5" w:customStyle="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GridTable1Light" w:customStyle="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</w:style>
  <w:style w:type="table" w:styleId="GridTable1Light-Accent1" w:customStyle="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</w:style>
  <w:style w:type="table" w:styleId="GridTable1Light-Accent2" w:customStyle="1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</w:style>
  <w:style w:type="table" w:styleId="GridTable1Light-Accent3" w:customStyle="1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styleId="GridTable1Light-Accent4" w:customStyle="1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styleId="GridTable1Light-Accent5" w:customStyle="1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</w:style>
  <w:style w:type="table" w:styleId="GridTable1Light-Accent6" w:customStyle="1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styleId="GridTable2" w:customStyle="1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2-Accent1" w:customStyle="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</w:style>
  <w:style w:type="table" w:styleId="GridTable2-Accent2" w:customStyle="1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2-Accent3" w:customStyle="1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2-Accent4" w:customStyle="1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2-Accent5" w:customStyle="1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2-Accent6" w:customStyle="1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GridTable3" w:customStyle="1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3-Accent1" w:customStyle="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</w:style>
  <w:style w:type="table" w:styleId="GridTable3-Accent2" w:customStyle="1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3-Accent3" w:customStyle="1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3-Accent4" w:customStyle="1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3-Accent5" w:customStyle="1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3-Accent6" w:customStyle="1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GridTable4" w:customStyle="1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4-Accent1" w:customStyle="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styleId="GridTable4-Accent2" w:customStyle="1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4-Accent3" w:customStyle="1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4-Accent4" w:customStyle="1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4-Accent5" w:customStyle="1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4-Accent6" w:customStyle="1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GridTable5Dark" w:customStyle="1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band1Horz">
      <w:tcPr>
        <w:shd w:val="clear" w:color="8a8a8a" w:themeColor="text1" w:themeTint="75" w:fill="8a8a8a" w:themeFill="text1" w:themeFillTint="75"/>
      </w:tcPr>
    </w:tblStylePr>
  </w:style>
  <w:style w:type="table" w:styleId="GridTable5Dark-Accent1" w:customStyle="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band1Horz">
      <w:tcPr>
        <w:shd w:val="clear" w:color="aec4e0" w:themeColor="accent1" w:themeTint="75" w:fill="aec4e0" w:themeFill="accent1" w:themeFillTint="75"/>
      </w:tcPr>
    </w:tblStylePr>
  </w:style>
  <w:style w:type="table" w:styleId="GridTable5Dark-Accent2" w:customStyle="1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styleId="GridTable5Dark-Accent3" w:customStyle="1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band1Horz">
      <w:tcPr>
        <w:shd w:val="clear" w:color="d0dfb2" w:themeColor="accent3" w:themeTint="75" w:fill="d0dfb2" w:themeFill="accent3" w:themeFillTint="75"/>
      </w:tcPr>
    </w:tblStylePr>
  </w:style>
  <w:style w:type="table" w:styleId="GridTable5Dark-Accent4" w:customStyle="1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styleId="GridTable5Dark-Accent5" w:customStyle="1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styleId="GridTable5Dark-Accent6" w:customStyle="1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styleId="GridTable6Colorful" w:customStyle="1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6Colorful-Accent1" w:customStyle="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6Colorful-Accent2" w:customStyle="1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6Colorful-Accent3" w:customStyle="1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6Colorful-Accent4" w:customStyle="1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6Colorful-Accent5" w:customStyle="1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6Colorful-Accent6" w:customStyle="1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7Colorful" w:customStyle="1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-Accent1" w:customStyle="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A6BFDD" w:themeColor="accent1" w:themeTint="80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single" w:color="A6BFDD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tcBorders>
          <w:top w:val="none" w:color="auto" w:sz="0" w:space="0"/>
          <w:left w:val="single" w:color="A6BFDD" w:themeColor="accent1" w:themeTint="8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7Colorful-Accent2" w:customStyle="1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7Colorful-Accent3" w:customStyle="1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9ABB59" w:themeColor="accent3" w:themeTint="FE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single" w:color="9ABB59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A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tcBorders>
          <w:top w:val="none" w:color="auto" w:sz="0" w:space="0"/>
          <w:left w:val="single" w:color="9ABB59" w:themeColor="accent3" w:themeTint="FE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7Colorful-Accent4" w:customStyle="1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7Colorful-Accent5" w:customStyle="1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99D0DE" w:themeColor="accent5" w:themeTint="90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one" w:color="auto" w:sz="0" w:space="0"/>
          <w:left w:val="single" w:color="99D0DE" w:themeColor="accent5" w:themeTint="9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7Colorful-Accent6" w:customStyle="1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FAC396" w:themeColor="accent6" w:themeTint="90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one" w:color="auto" w:sz="0" w:space="0"/>
          <w:left w:val="single" w:color="FAC396" w:themeColor="accent6" w:themeTint="9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ListTable1Light" w:customStyle="1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tcPr>
        <w:shd w:val="clear" w:color="bfbfbf" w:themeColor="text1" w:themeTint="40" w:fill="bfbfbf" w:themeFill="text1" w:themeFillTint="40"/>
      </w:tcPr>
    </w:tblStylePr>
  </w:style>
  <w:style w:type="table" w:styleId="ListTable1Light-Accent1" w:customStyle="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styleId="ListTable1Light-Accent2" w:customStyle="1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tcPr>
        <w:shd w:val="clear" w:color="efd2d2" w:themeColor="accent2" w:themeTint="40" w:fill="efd2d2" w:themeFill="accent2" w:themeFillTint="40"/>
      </w:tcPr>
    </w:tblStylePr>
  </w:style>
  <w:style w:type="table" w:styleId="ListTable1Light-Accent3" w:customStyle="1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tcPr>
        <w:shd w:val="clear" w:color="e5eed5" w:themeColor="accent3" w:themeTint="40" w:fill="e5eed5" w:themeFill="accent3" w:themeFillTint="40"/>
      </w:tcPr>
    </w:tblStylePr>
  </w:style>
  <w:style w:type="table" w:styleId="ListTable1Light-Accent4" w:customStyle="1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styleId="ListTable1Light-Accent5" w:customStyle="1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styleId="ListTable1Light-Accent6" w:customStyle="1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tcPr>
        <w:shd w:val="clear" w:color="fde4d0" w:themeColor="accent6" w:themeTint="40" w:fill="fde4d0" w:themeFill="accent6" w:themeFillTint="40"/>
      </w:tcPr>
    </w:tblStylePr>
  </w:style>
  <w:style w:type="table" w:styleId="ListTable2" w:customStyle="1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2-Accent1" w:customStyle="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styleId="ListTable2-Accent2" w:customStyle="1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</w:style>
  <w:style w:type="table" w:styleId="ListTable2-Accent3" w:customStyle="1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</w:style>
  <w:style w:type="table" w:styleId="ListTable2-Accent4" w:customStyle="1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styleId="ListTable2-Accent5" w:customStyle="1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styleId="ListTable2-Accent6" w:customStyle="1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</w:style>
  <w:style w:type="table" w:styleId="ListTable3" w:customStyle="1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ListTable3-Accent1" w:customStyle="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styleId="ListTable3-Accent2" w:customStyle="1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</w:style>
  <w:style w:type="table" w:styleId="ListTable3-Accent3" w:customStyle="1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</w:style>
  <w:style w:type="table" w:styleId="ListTable3-Accent4" w:customStyle="1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styleId="ListTable3-Accent5" w:customStyle="1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styleId="ListTable3-Accent6" w:customStyle="1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styleId="ListTable4" w:customStyle="1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4-Accent1" w:customStyle="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styleId="ListTable4-Accent2" w:customStyle="1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</w:style>
  <w:style w:type="table" w:styleId="ListTable4-Accent3" w:customStyle="1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</w:style>
  <w:style w:type="table" w:styleId="ListTable4-Accent4" w:customStyle="1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styleId="ListTable4-Accent5" w:customStyle="1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styleId="ListTable4-Accent6" w:customStyle="1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</w:style>
  <w:style w:type="table" w:styleId="ListTable5Dark" w:customStyle="1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</w:style>
  <w:style w:type="table" w:styleId="ListTable5Dark-Accent1" w:customStyle="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styleId="ListTable5Dark-Accent2" w:customStyle="1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695" w:themeColor="accent2" w:themeTint="97" w:sz="32" w:space="0"/>
          <w:bottom w:val="single" w:color="FFFFFF" w:themeColor="light1" w:sz="12" w:space="0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</w:style>
  <w:style w:type="table" w:styleId="ListTable5Dark-Accent3" w:customStyle="1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B" w:themeColor="accent3" w:themeTint="98" w:sz="32" w:space="0"/>
          <w:bottom w:val="single" w:color="FFFFFF" w:themeColor="light1" w:sz="12" w:space="0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</w:style>
  <w:style w:type="table" w:styleId="ListTable5Dark-Accent4" w:customStyle="1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styleId="ListTable5Dark-Accent5" w:customStyle="1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styleId="ListTable5Dark-Accent6" w:customStyle="1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styleId="ListTable6Colorful" w:customStyle="1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 w:customStyle="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6Colorful-Accent2" w:customStyle="1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6Colorful-Accent3" w:customStyle="1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6Colorful-Accent4" w:customStyle="1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6Colorful-Accent5" w:customStyle="1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6Colorful-Accent6" w:customStyle="1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stTable7Colorful" w:customStyle="1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7Colorful-Accent1" w:customStyle="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7Colorful-Accent2" w:customStyle="1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7Colorful-Accent3" w:customStyle="1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C3D69B" w:themeColor="accent3" w:themeTint="98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single" w:color="C3D69B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C3D69B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auto" w:sz="0" w:space="0"/>
          <w:left w:val="single" w:color="C3D69B" w:themeColor="accent3" w:themeTint="98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7Colorful-Accent4" w:customStyle="1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7Colorful-Accent5" w:customStyle="1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92CCDC" w:themeColor="accent5" w:themeTint="9A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single" w:color="92CCDC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auto" w:sz="0" w:space="0"/>
          <w:left w:val="single" w:color="92CCDC" w:themeColor="accent5" w:themeTint="9A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7Colorful-Accent6" w:customStyle="1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FAC090" w:themeColor="accent6" w:themeTint="98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single" w:color="FAC090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auto" w:sz="0" w:space="0"/>
          <w:left w:val="single" w:color="FAC090" w:themeColor="accent6" w:themeTint="98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ned-Accent" w:customStyle="1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Lined-Accent1" w:customStyle="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styleId="Lined-Accent2" w:customStyle="1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Lined-Accent3" w:customStyle="1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Lined-Accent4" w:customStyle="1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Lined-Accent5" w:customStyle="1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Lined-Accent6" w:customStyle="1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BorderedLined-Accent" w:customStyle="1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BorderedLined-Accent1" w:customStyle="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styleId="BorderedLined-Accent2" w:customStyle="1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BorderedLined-Accent3" w:customStyle="1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BorderedLined-Accent4" w:customStyle="1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BorderedLined-Accent5" w:customStyle="1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BorderedLined-Accent6" w:customStyle="1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Bordered" w:customStyle="1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</w:style>
  <w:style w:type="table" w:styleId="Bordered-Accent1" w:customStyle="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</w:style>
  <w:style w:type="table" w:styleId="Bordered-Accent2" w:customStyle="1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</w:style>
  <w:style w:type="table" w:styleId="Bordered-Accent3" w:customStyle="1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styleId="Bordered-Accent4" w:customStyle="1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styleId="Bordered-Accent5" w:customStyle="1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</w:style>
  <w:style w:type="table" w:styleId="Bordered-Accent6" w:customStyle="1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styleId="ad" w:customStyle="1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styleId="af0" w:customStyle="1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paragraph" w:styleId="af4">
    <w:name w:val="Balloon Text"/>
    <w:basedOn w:val="a"/>
    <w:link w:val="af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5" w:customStyle="1">
    <w:name w:val="Текст выноски Знак"/>
    <w:basedOn w:val="a0"/>
    <w:link w:val="af4"/>
    <w:uiPriority w:val="99"/>
    <w:semiHidden/>
    <w:rPr>
      <w:rFonts w:ascii="Tahoma" w:hAnsi="Tahoma" w:cs="Tahoma"/>
      <w:sz w:val="16"/>
      <w:szCs w:val="16"/>
    </w:rPr>
  </w:style>
  <w:style w:type="paragraph" w:styleId="ConsPlusNormal" w:customStyle="1">
    <w:name w:val="ConsPlusNormal"/>
    <w:qFormat/>
    <w:pPr>
      <w:widowControl w:val="off"/>
      <w:spacing w:after="0" w:line="240" w:lineRule="auto"/>
    </w:pPr>
    <w:rPr>
      <w:rFonts w:ascii="Calibri" w:hAnsi="Calibri" w:cs="Calibri" w:eastAsiaTheme="minorEastAsia"/>
      <w:lang w:eastAsia="ru-RU"/>
    </w:rPr>
  </w:style>
  <w:style w:type="paragraph" w:styleId="ConsPlusTitle" w:customStyle="1">
    <w:name w:val="ConsPlusTitle"/>
    <w:pPr>
      <w:widowControl w:val="off"/>
      <w:spacing w:after="0" w:line="240" w:lineRule="auto"/>
    </w:pPr>
    <w:rPr>
      <w:rFonts w:ascii="Calibri" w:hAnsi="Calibri" w:cs="Calibri" w:eastAsiaTheme="minorEastAsia"/>
      <w:b/>
      <w:lang w:eastAsia="ru-RU"/>
    </w:rPr>
  </w:style>
  <w:style w:type="paragraph" w:styleId="ConsPlusNonformat" w:customStyle="1">
    <w:name w:val="ConsPlusNonformat"/>
    <w:pPr>
      <w:widowControl w:val="off"/>
      <w:spacing w:after="0" w:line="240" w:lineRule="auto"/>
    </w:pPr>
    <w:rPr>
      <w:rFonts w:ascii="Courier New" w:hAnsi="Courier New" w:cs="Courier New" w:eastAsiaTheme="minorEastAsia"/>
      <w:sz w:val="20"/>
      <w:lang w:eastAsia="ru-RU"/>
    </w:rPr>
  </w:style>
  <w:style w:type="table" w:styleId="af6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2" w:customStyle="1">
    <w:name w:val="Сетка таблицы1"/>
    <w:basedOn w:val="a1"/>
    <w:next w:val="af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translatable-message" w:customStyle="1">
    <w:name w:val="translatable-message"/>
    <w:basedOn w:val="a0"/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styleId="af8" w:customStyle="1">
    <w:name w:val="Верхний колонтитул Знак"/>
    <w:basedOn w:val="a0"/>
    <w:link w:val="af7"/>
    <w:uiPriority w:val="99"/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styleId="afa" w:customStyle="1">
    <w:name w:val="Нижний колонтитул Знак"/>
    <w:basedOn w:val="a0"/>
    <w:link w:val="af9"/>
    <w:uiPriority w:val="99"/>
  </w:style>
  <w:style w:type="character" w:styleId="afb">
    <w:name w:val="Hyperlink"/>
    <w:uiPriority w:val="99"/>
    <w:unhideWhenUsed/>
    <w:rPr>
      <w:color w:val="0000ff" w:themeColor="hyperlink"/>
      <w:u w:val="single"/>
    </w:rPr>
  </w:style>
  <w:style w:type="character" w:styleId="30" w:customStyle="1">
    <w:name w:val="Заголовок 3 Знак"/>
    <w:basedOn w:val="a0"/>
    <w:link w:val="3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afc">
    <w:name w:val="annotation text"/>
    <w:basedOn w:val="a"/>
    <w:link w:val="afd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afd" w:customStyle="1">
    <w:name w:val="Текст примечания Знак"/>
    <w:basedOn w:val="a0"/>
    <w:link w:val="afc"/>
    <w:uiPriority w:val="99"/>
    <w:semiHidden/>
    <w:rPr>
      <w:sz w:val="20"/>
      <w:szCs w:val="20"/>
    </w:rPr>
  </w:style>
  <w:style w:type="character" w:styleId="afe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hyperlink" Target="https://login.consultant.ru/link/?req=doc&amp;base=LAW&amp;n=486289" TargetMode="External"/><Relationship Id="rId10" Type="http://schemas.openxmlformats.org/officeDocument/2006/relationships/hyperlink" Target="https://login.consultant.ru/link/?req=doc&amp;base=LAW&amp;n=469774&amp;dst=3722" TargetMode="External"/><Relationship Id="rId11" Type="http://schemas.openxmlformats.org/officeDocument/2006/relationships/hyperlink" Target="consultantplus://offline/ref=08A2591A590A995646F0A24DE53B1054B0B794F628DA282889AA9133D9ECD10C7FE106A47687569E6A72FEI5tFJ" TargetMode="External"/><Relationship Id="rId12" Type="http://schemas.openxmlformats.org/officeDocument/2006/relationships/hyperlink" Target="consultantplus://offline/ref=08A2591A590A995646F0A24DE53B1054B0B794F628DA282889AA9133D9ECC30C27ED07AD688E548B3C23B8099A77C5BED1E0FF8AAD10IBt8J" TargetMode="External"/><Relationship Id="rId13" Type="http://schemas.openxmlformats.org/officeDocument/2006/relationships/hyperlink" Target="consultantplus://offline/ref=08A2591A590A995646F0A24DE53B1054B6BC9AF1238D7F2AD8FF9F36D1BC8B1C69A80AAC688751856F79A80DD323C1A1D8FBE18DB310BB7FI8t3J" TargetMode="External"/><Relationship Id="rId14" Type="http://schemas.openxmlformats.org/officeDocument/2006/relationships/hyperlink" Target="consultantplus://offline/ref=08A2591A590A995646F0BC40F3574A59B6B4CDFE2B857C7C84A0C46B86B5814B2EE753EE2C8A52806872FD5E9C229DE484E8E081B312BE6382821EI4tBJ" TargetMode="External"/><Relationship Id="rId15" Type="http://schemas.openxmlformats.org/officeDocument/2006/relationships/hyperlink" Target="consultantplus://offline/ref=08A2591A590A995646F0A24DE53B1054B6BD91F226897F2AD8FF9F36D1BC8B1C7BA852A0698E4D806D6CFE5C95I7t5J" TargetMode="External"/><Relationship Id="rId16" Type="http://schemas.openxmlformats.org/officeDocument/2006/relationships/hyperlink" Target="consultantplus://offline/ref=08A2591A590A995646F0A24DE53B1054B6BC9AF1238D7F2AD8FF9F36D1BC8B1C69A80AAC688751866879A80DD323C1A1D8FBE18DB310BB7FI8t3J" TargetMode="External"/><Relationship Id="rId17" Type="http://schemas.openxmlformats.org/officeDocument/2006/relationships/hyperlink" Target="consultantplus://offline/ref=08A2591A590A995646F0A24DE53B1054B6BC9AF1238D7F2AD8FF9F36D1BC8B1C69A80AAC688753886A79A80DD323C1A1D8FBE18DB310BB7FI8t3J" TargetMode="External"/><Relationship Id="rId18" Type="http://schemas.openxmlformats.org/officeDocument/2006/relationships/hyperlink" Target="consultantplus://offline/ref=08A2591A590A995646F0A24DE53B1054B6BC9AF1238D7F2AD8FF9F36D1BC8B1C69A80AAF6F8C07D12C27F15D9E68CCA5CFE7E18AIAtEJ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1B29F-038D-4311-986D-38F688936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Р7-Офис/2025.2.1.801</Application>
  <Characters>16194</Characters>
  <CharactersWithSpaces>18998</CharactersWithSpaces>
  <Company/>
  <DocSecurity>0</DocSecurity>
  <HyperlinksChanged>false</HyperlinksChanged>
  <Lines>134</Lines>
  <LinksUpToDate>false</LinksUpToDate>
  <Pages>9</Pages>
  <Paragraphs>37</Paragraphs>
  <ScaleCrop>false</ScaleCrop>
  <SharedDoc>false</SharedDoc>
  <Template>Normal</Template>
  <TotalTime>25</TotalTime>
  <Words>2841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2025-03-03T06:10:00Z</cp:lastPrinted>
  <dcterms:created xsi:type="dcterms:W3CDTF">2025-03-03T06:01:00Z</dcterms:created>
  <dcterms:modified xsi:type="dcterms:W3CDTF">2025-03-11T07:55:00Z</dcterms:modified>
</cp:coreProperties>
</file>